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85D" w14:textId="6E9CD3A2" w:rsidR="006A2B23" w:rsidRPr="00D1661C" w:rsidRDefault="006A2B23" w:rsidP="00F7331D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Cs w:val="21"/>
          <w:shd w:val="clear" w:color="auto" w:fill="FFFFFF"/>
          <w:lang w:val="ka-GE"/>
          <w14:ligatures w14:val="none"/>
        </w:rPr>
      </w:pPr>
    </w:p>
    <w:p w14:paraId="38997D5D" w14:textId="6C80D233" w:rsidR="006A2B23" w:rsidRPr="00D1661C" w:rsidRDefault="006A2B23" w:rsidP="006A2B23">
      <w:pPr>
        <w:spacing w:after="0" w:line="240" w:lineRule="auto"/>
        <w:ind w:firstLine="720"/>
        <w:jc w:val="center"/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  <w:t>Government debt</w:t>
      </w:r>
    </w:p>
    <w:p w14:paraId="250CD076" w14:textId="77777777" w:rsidR="006A2B23" w:rsidRPr="00D1661C" w:rsidRDefault="006A2B23" w:rsidP="006A2B23">
      <w:pPr>
        <w:spacing w:after="0" w:line="240" w:lineRule="auto"/>
        <w:ind w:firstLine="720"/>
        <w:jc w:val="center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</w:p>
    <w:p w14:paraId="736B3625" w14:textId="7B9C4C46" w:rsidR="006A2B23" w:rsidRPr="00D1661C" w:rsidRDefault="006A2B23" w:rsidP="006A2B23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W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ithin the limits determined in accordance with the Organic Law of Georgia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on Economic Freedom,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the balance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of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the government </w:t>
      </w:r>
      <w:r w:rsidR="005F1861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debt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and the total current value </w:t>
      </w:r>
      <w:r w:rsidR="005F1861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of the financial obligations assumed within the projects meeting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the criteria of private-public partnership,  equals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28,922.8 million GEL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a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s of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31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December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2022.</w:t>
      </w:r>
    </w:p>
    <w:p w14:paraId="3627130A" w14:textId="77777777" w:rsidR="00C54C3C" w:rsidRPr="00D1661C" w:rsidRDefault="00C54C3C" w:rsidP="006A2B23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</w:p>
    <w:p w14:paraId="116FE61D" w14:textId="4E35D259" w:rsidR="006A2B23" w:rsidRPr="00D1661C" w:rsidRDefault="006A2B23" w:rsidP="006A2B23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 The above-mentioned total </w:t>
      </w:r>
      <w:r w:rsidR="0047280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value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includes the </w:t>
      </w:r>
      <w:r w:rsidR="0047280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public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debt stipulated by the Law of Georgia "On </w:t>
      </w:r>
      <w:r w:rsidR="00C54C3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the Public Debt of Georgia”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in addition to the </w:t>
      </w:r>
      <w:r w:rsidR="0047280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obligations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assumed by the National Bank of Georgia - 28,497.1 million GEL, the existing balance of loans of budgetary organizations - 41.1 million GEL, and </w:t>
      </w:r>
      <w:r w:rsidR="0047280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the current value of the financial obligations assumed within the projects meeting the criteria of private-public partnership</w:t>
      </w:r>
      <w:r w:rsidR="0047280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- 384.6 million GEL.</w:t>
      </w:r>
    </w:p>
    <w:p w14:paraId="414D92B8" w14:textId="05435C42" w:rsidR="00F7331D" w:rsidRPr="00D1661C" w:rsidRDefault="00F7331D" w:rsidP="00F7331D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Cs w:val="21"/>
          <w:shd w:val="clear" w:color="auto" w:fill="FFFFFF"/>
          <w:lang w:val="ka-GE"/>
          <w14:ligatures w14:val="none"/>
        </w:rPr>
      </w:pPr>
    </w:p>
    <w:p w14:paraId="652B6E1B" w14:textId="77777777" w:rsidR="00472809" w:rsidRPr="00D1661C" w:rsidRDefault="00472809" w:rsidP="00472809">
      <w:pPr>
        <w:spacing w:after="0" w:line="240" w:lineRule="auto"/>
        <w:ind w:firstLine="720"/>
        <w:jc w:val="center"/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  <w:t>External debt of the government</w:t>
      </w:r>
    </w:p>
    <w:p w14:paraId="580FBD7F" w14:textId="77777777" w:rsidR="00472809" w:rsidRPr="00D1661C" w:rsidRDefault="00472809" w:rsidP="00472809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</w:p>
    <w:p w14:paraId="0436FC43" w14:textId="6E0DD060" w:rsidR="00472809" w:rsidRPr="00D1661C" w:rsidRDefault="00472809" w:rsidP="00472809">
      <w:pPr>
        <w:spacing w:after="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The balance of the government's external debt - 21,392.0 million GEL, is 75% of the total government debt. A large part of the said credit resource is received from multilateral and bilateral donors/partners to finance priority infrastructure projects for the country. The government's external debt portfolio is </w:t>
      </w:r>
      <w:r w:rsidR="00043B92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preferential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and consists mainly of long-term loans - the weighted average contract</w:t>
      </w:r>
      <w:r w:rsidR="009B6ED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 term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of the portfolio is 21.4 years, the weighted average </w:t>
      </w:r>
      <w:r w:rsidR="009B6ED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remaining term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="009B6ED9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before</w:t>
      </w:r>
      <w:r w:rsidR="00043B92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 payment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is approximately 9 years, and the weighted average interest rate on the government's external debt is 2.23%.</w:t>
      </w:r>
    </w:p>
    <w:p w14:paraId="2D0E2278" w14:textId="158C3D4D" w:rsidR="00F7331D" w:rsidRPr="00D1661C" w:rsidRDefault="00F7331D" w:rsidP="00F7331D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eastAsia="Calibri" w:hAnsi="Sylfaen" w:cs="Calibri"/>
          <w:b/>
          <w:kern w:val="0"/>
          <w:szCs w:val="18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14682F59" wp14:editId="3B88F79E">
            <wp:simplePos x="0" y="0"/>
            <wp:positionH relativeFrom="column">
              <wp:posOffset>486410</wp:posOffset>
            </wp:positionH>
            <wp:positionV relativeFrom="paragraph">
              <wp:posOffset>184150</wp:posOffset>
            </wp:positionV>
            <wp:extent cx="3627755" cy="1838325"/>
            <wp:effectExtent l="0" t="0" r="4445" b="317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61C">
        <w:rPr>
          <w:rFonts w:ascii="Sylfaen" w:eastAsia="Calibri" w:hAnsi="Sylfaen" w:cs="Calibri"/>
          <w:b/>
          <w:noProof/>
          <w:color w:val="8064A2"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2C71BE" wp14:editId="31146D0D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A4D0A" w14:textId="4654D671" w:rsidR="006A2B23" w:rsidRPr="00A33B48" w:rsidRDefault="006A2B23" w:rsidP="00F7331D">
                              <w:pPr>
                                <w:pStyle w:val="NormalWeb1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="009D1959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Weighted average</w:t>
                              </w: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5CCA1B40" w14:textId="06397B88" w:rsidR="006A2B23" w:rsidRPr="007A24F9" w:rsidRDefault="006A2B23" w:rsidP="00F7331D">
                              <w:pPr>
                                <w:pStyle w:val="NormalWeb1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D1959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interest rate </w:t>
                              </w: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2.23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508453EF" w14:textId="50DD6FFE" w:rsidR="006A2B23" w:rsidRPr="001C01AE" w:rsidRDefault="006A2B23" w:rsidP="00F7331D">
                              <w:pPr>
                                <w:pStyle w:val="NormalWeb1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9B6ED9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contract term</w:t>
                              </w:r>
                              <w:r w:rsidRPr="00F7331D">
                                <w:rPr>
                                  <w:rFonts w:ascii="Sylfaen" w:hAnsi="Sylfae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4 </w:t>
                              </w:r>
                              <w:r w:rsidR="001C01AE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years</w:t>
                              </w:r>
                            </w:p>
                            <w:p w14:paraId="7F94E5BE" w14:textId="7B962588" w:rsidR="006A2B23" w:rsidRPr="001C01AE" w:rsidRDefault="006A2B23" w:rsidP="00F7331D">
                              <w:pPr>
                                <w:pStyle w:val="NormalWeb1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F7331D">
                                <w:rPr>
                                  <w:rFonts w:ascii="Sylfaen" w:hAnsi="Sylfaen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="009B6ED9">
                                <w:rPr>
                                  <w:rFonts w:ascii="Sylfaen" w:hAnsi="Sylfaen"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remaining term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9.0</w:t>
                              </w:r>
                              <w:r w:rsidRPr="00F7331D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="001C01AE">
                                <w:rPr>
                                  <w:rFonts w:ascii="Sylfaen" w:hAnsi="Sylfaen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2C71BE" id="Group 6" o:spid="_x0000_s1026" style="position:absolute;left:0;text-align:left;margin-left:311.25pt;margin-top:65.35pt;width:201pt;height:49.35pt;z-index:251659264;mso-position-horizontal-relative:margin;mso-width-relative:margin" coordorigin="" coordsize="26200,6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07DA4D0A" w14:textId="4654D671" w:rsidR="006A2B23" w:rsidRPr="00A33B48" w:rsidRDefault="006A2B23" w:rsidP="00F7331D">
                        <w:pPr>
                          <w:pStyle w:val="NormalWeb1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="009D1959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>Weighted average</w:t>
                        </w: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5CCA1B40" w14:textId="06397B88" w:rsidR="006A2B23" w:rsidRPr="007A24F9" w:rsidRDefault="006A2B23" w:rsidP="00F7331D">
                        <w:pPr>
                          <w:pStyle w:val="NormalWeb1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>-</w:t>
                        </w:r>
                        <w:r w:rsidR="009D1959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interest rate </w:t>
                        </w: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2.23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508453EF" w14:textId="50DD6FFE" w:rsidR="006A2B23" w:rsidRPr="001C01AE" w:rsidRDefault="006A2B23" w:rsidP="00F7331D">
                        <w:pPr>
                          <w:pStyle w:val="NormalWeb1"/>
                          <w:spacing w:before="0" w:beforeAutospacing="0" w:after="0" w:afterAutospacing="0"/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</w:pP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="009B6ED9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>contract term</w:t>
                        </w:r>
                        <w:r w:rsidRPr="00F7331D">
                          <w:rPr>
                            <w:rFonts w:ascii="Sylfaen" w:hAnsi="Sylfaen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4 </w:t>
                        </w:r>
                        <w:r w:rsidR="001C01AE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years</w:t>
                        </w:r>
                      </w:p>
                      <w:p w14:paraId="7F94E5BE" w14:textId="7B962588" w:rsidR="006A2B23" w:rsidRPr="001C01AE" w:rsidRDefault="006A2B23" w:rsidP="00F7331D">
                        <w:pPr>
                          <w:pStyle w:val="NormalWeb1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F7331D">
                          <w:rPr>
                            <w:rFonts w:ascii="Sylfaen" w:hAnsi="Sylfaen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="009B6ED9">
                          <w:rPr>
                            <w:rFonts w:ascii="Sylfaen" w:hAnsi="Sylfaen"/>
                            <w:bCs/>
                            <w:kern w:val="24"/>
                            <w:sz w:val="16"/>
                            <w:szCs w:val="16"/>
                          </w:rPr>
                          <w:t>remaining term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9.0</w:t>
                        </w:r>
                        <w:r w:rsidRPr="00F7331D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="001C01AE">
                          <w:rPr>
                            <w:rFonts w:ascii="Sylfaen" w:hAnsi="Sylfaen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years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" fillcolor="window" strokecolor="#8064a2" strokeweight="2pt"/>
                <w10:wrap anchorx="margin"/>
              </v:group>
            </w:pict>
          </mc:Fallback>
        </mc:AlternateContent>
      </w:r>
      <w:r w:rsidR="009D1959" w:rsidRPr="00D1661C">
        <w:rPr>
          <w:rFonts w:ascii="Sylfaen" w:eastAsia="Calibri" w:hAnsi="Sylfaen" w:cs="Calibri"/>
          <w:b/>
          <w:noProof/>
          <w:kern w:val="0"/>
          <w14:ligatures w14:val="none"/>
        </w:rPr>
        <w:t>Government debt structure as of 31 December 2022</w:t>
      </w:r>
      <w:r w:rsidRPr="00D1661C">
        <w:rPr>
          <w:rFonts w:ascii="Sylfaen" w:eastAsia="Calibri" w:hAnsi="Sylfaen" w:cs="Calibri"/>
          <w:b/>
          <w:kern w:val="0"/>
          <w:szCs w:val="18"/>
          <w:shd w:val="clear" w:color="auto" w:fill="FFFFFF"/>
          <w:lang w:val="ka-GE"/>
          <w14:ligatures w14:val="none"/>
        </w:rPr>
        <w:t xml:space="preserve"> </w:t>
      </w:r>
    </w:p>
    <w:p w14:paraId="124D0E05" w14:textId="77777777" w:rsidR="00F7331D" w:rsidRPr="00D1661C" w:rsidRDefault="00F7331D" w:rsidP="00F7331D">
      <w:pPr>
        <w:spacing w:after="200" w:line="240" w:lineRule="auto"/>
        <w:jc w:val="both"/>
        <w:rPr>
          <w:rFonts w:ascii="Sylfaen" w:eastAsia="Calibri" w:hAnsi="Sylfaen" w:cs="Calibri"/>
          <w:kern w:val="0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lang w:val="ka-GE"/>
          <w14:ligatures w14:val="none"/>
        </w:rPr>
        <w:t xml:space="preserve"> </w:t>
      </w:r>
    </w:p>
    <w:p w14:paraId="311F80AD" w14:textId="0A43A255" w:rsidR="00F7331D" w:rsidRPr="00D1661C" w:rsidRDefault="009B6ED9" w:rsidP="00F7331D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As of December 31, 2022, 52% of the government's external debt portfolio consists of fixed-rate loans. This circumstance contributes to the protection of the Georgian government's external debt service parameters from exogenous interest rate fluctuations and ensures the maintenance of debt service costs at a low level.</w:t>
      </w:r>
    </w:p>
    <w:p w14:paraId="209842CB" w14:textId="77777777" w:rsidR="00F7331D" w:rsidRPr="00D1661C" w:rsidRDefault="00F7331D" w:rsidP="00F7331D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eastAsia="Calibri" w:hAnsi="Sylfaen" w:cs="Calibri"/>
          <w:kern w:val="0"/>
          <w:szCs w:val="21"/>
          <w:shd w:val="clear" w:color="auto" w:fill="FFFFFF"/>
          <w14:ligatures w14:val="none"/>
        </w:rPr>
      </w:pPr>
    </w:p>
    <w:p w14:paraId="0C472656" w14:textId="77777777" w:rsidR="00F7331D" w:rsidRPr="00D1661C" w:rsidRDefault="00F7331D" w:rsidP="00F7331D">
      <w:pPr>
        <w:tabs>
          <w:tab w:val="left" w:pos="360"/>
        </w:tabs>
        <w:spacing w:after="200" w:line="240" w:lineRule="auto"/>
        <w:ind w:left="360"/>
        <w:rPr>
          <w:rFonts w:ascii="Sylfaen" w:eastAsia="Calibri" w:hAnsi="Sylfaen" w:cs="Calibri"/>
          <w:kern w:val="0"/>
          <w:lang w:val="ka-GE"/>
          <w14:ligatures w14:val="none"/>
        </w:rPr>
      </w:pPr>
      <w:r w:rsidRPr="00D1661C">
        <w:rPr>
          <w:rFonts w:ascii="Sylfaen" w:eastAsia="Calibri" w:hAnsi="Sylfaen" w:cs="Calibri"/>
          <w:noProof/>
          <w:kern w:val="0"/>
          <w14:ligatures w14:val="none"/>
        </w:rPr>
        <w:drawing>
          <wp:anchor distT="0" distB="0" distL="114300" distR="114300" simplePos="0" relativeHeight="251662336" behindDoc="1" locked="0" layoutInCell="1" allowOverlap="1" wp14:anchorId="77A85C31" wp14:editId="378D025C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0" b="0"/>
            <wp:wrapTight wrapText="bothSides">
              <wp:wrapPolygon edited="0">
                <wp:start x="0" y="0"/>
                <wp:lineTo x="0" y="21424"/>
                <wp:lineTo x="21416" y="21424"/>
                <wp:lineTo x="21416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61C">
        <w:rPr>
          <w:rFonts w:ascii="Sylfaen" w:eastAsia="Calibri" w:hAnsi="Sylfaen" w:cs="Calibri"/>
          <w:noProof/>
          <w:kern w:val="0"/>
          <w14:ligatures w14:val="none"/>
        </w:rPr>
        <w:drawing>
          <wp:anchor distT="0" distB="0" distL="114300" distR="114300" simplePos="0" relativeHeight="251661312" behindDoc="1" locked="0" layoutInCell="1" allowOverlap="1" wp14:anchorId="5A15E6AD" wp14:editId="2FB15E2A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222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61C">
        <w:rPr>
          <w:rFonts w:ascii="Sylfaen" w:eastAsia="Calibri" w:hAnsi="Sylfaen" w:cs="Calibri"/>
          <w:kern w:val="0"/>
          <w:lang w:val="ka-GE"/>
          <w14:ligatures w14:val="none"/>
        </w:rPr>
        <w:t xml:space="preserve">  </w:t>
      </w:r>
    </w:p>
    <w:p w14:paraId="20967AC0" w14:textId="77777777" w:rsidR="00F7331D" w:rsidRPr="00D1661C" w:rsidRDefault="00F7331D" w:rsidP="00F7331D">
      <w:pPr>
        <w:tabs>
          <w:tab w:val="left" w:pos="360"/>
        </w:tabs>
        <w:spacing w:after="200" w:line="240" w:lineRule="auto"/>
        <w:rPr>
          <w:rFonts w:ascii="Sylfaen" w:eastAsia="Calibri" w:hAnsi="Sylfaen" w:cs="Calibri"/>
          <w:kern w:val="0"/>
          <w14:ligatures w14:val="none"/>
        </w:rPr>
      </w:pPr>
    </w:p>
    <w:p w14:paraId="47EFD27E" w14:textId="77777777" w:rsidR="00F7331D" w:rsidRPr="00D1661C" w:rsidRDefault="00F7331D" w:rsidP="00F7331D">
      <w:pPr>
        <w:tabs>
          <w:tab w:val="left" w:pos="360"/>
        </w:tabs>
        <w:spacing w:after="200" w:line="240" w:lineRule="auto"/>
        <w:rPr>
          <w:rFonts w:ascii="Sylfaen" w:eastAsia="Calibri" w:hAnsi="Sylfaen" w:cs="Calibri"/>
          <w:kern w:val="0"/>
          <w14:ligatures w14:val="none"/>
        </w:rPr>
      </w:pPr>
    </w:p>
    <w:p w14:paraId="566B1532" w14:textId="77777777" w:rsidR="00F7331D" w:rsidRPr="00D1661C" w:rsidRDefault="00F7331D" w:rsidP="00F7331D">
      <w:pPr>
        <w:tabs>
          <w:tab w:val="left" w:pos="360"/>
        </w:tabs>
        <w:spacing w:after="0" w:line="240" w:lineRule="auto"/>
        <w:jc w:val="center"/>
        <w:rPr>
          <w:rFonts w:ascii="Sylfaen" w:eastAsia="Calibri" w:hAnsi="Sylfaen" w:cs="Calibri"/>
          <w:b/>
          <w:kern w:val="0"/>
          <w:lang w:val="ka-GE"/>
          <w14:ligatures w14:val="none"/>
        </w:rPr>
      </w:pPr>
    </w:p>
    <w:p w14:paraId="65190ECE" w14:textId="77777777" w:rsidR="00F7331D" w:rsidRPr="00D1661C" w:rsidRDefault="00F7331D" w:rsidP="00F7331D">
      <w:pPr>
        <w:spacing w:after="200" w:line="240" w:lineRule="auto"/>
        <w:rPr>
          <w:rFonts w:ascii="Sylfaen" w:eastAsia="Calibri" w:hAnsi="Sylfaen" w:cs="Calibri"/>
          <w:b/>
          <w:kern w:val="0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lang w:val="ka-GE"/>
          <w14:ligatures w14:val="none"/>
        </w:rPr>
        <w:br w:type="page"/>
      </w:r>
    </w:p>
    <w:p w14:paraId="0D59E768" w14:textId="55BF0330" w:rsidR="00F7331D" w:rsidRPr="00D1661C" w:rsidRDefault="00C753B1" w:rsidP="00F7331D">
      <w:pPr>
        <w:tabs>
          <w:tab w:val="left" w:pos="360"/>
        </w:tabs>
        <w:spacing w:after="0" w:line="240" w:lineRule="auto"/>
        <w:jc w:val="center"/>
        <w:rPr>
          <w:rFonts w:ascii="Sylfaen" w:eastAsia="Calibri" w:hAnsi="Sylfaen" w:cs="Calibri"/>
          <w:b/>
          <w:kern w:val="0"/>
          <w:lang w:val="ka-GE"/>
          <w14:ligatures w14:val="none"/>
        </w:rPr>
      </w:pPr>
      <w:r w:rsidRPr="00D1661C">
        <w:rPr>
          <w:rFonts w:ascii="Sylfaen" w:eastAsia="Calibri" w:hAnsi="Sylfaen" w:cs="Sylfaen"/>
          <w:b/>
          <w:kern w:val="0"/>
          <w14:ligatures w14:val="none"/>
        </w:rPr>
        <w:lastRenderedPageBreak/>
        <w:t>S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tructure </w:t>
      </w:r>
      <w:r w:rsidRPr="00D1661C">
        <w:rPr>
          <w:rFonts w:ascii="Sylfaen" w:eastAsia="Calibri" w:hAnsi="Sylfaen" w:cs="Sylfaen"/>
          <w:b/>
          <w:kern w:val="0"/>
          <w14:ligatures w14:val="none"/>
        </w:rPr>
        <w:t xml:space="preserve">of 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the </w:t>
      </w:r>
      <w:r w:rsidRPr="00D1661C">
        <w:rPr>
          <w:rFonts w:ascii="Sylfaen" w:eastAsia="Calibri" w:hAnsi="Sylfaen" w:cs="Sylfaen"/>
          <w:b/>
          <w:kern w:val="0"/>
          <w14:ligatures w14:val="none"/>
        </w:rPr>
        <w:t>G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>overnment</w:t>
      </w:r>
      <w:r w:rsidRPr="00D1661C">
        <w:rPr>
          <w:rFonts w:ascii="Sylfaen" w:eastAsia="Calibri" w:hAnsi="Sylfaen" w:cs="Sylfaen"/>
          <w:b/>
          <w:kern w:val="0"/>
          <w14:ligatures w14:val="none"/>
        </w:rPr>
        <w:t>’s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 External </w:t>
      </w:r>
      <w:r w:rsidRPr="00D1661C">
        <w:rPr>
          <w:rFonts w:ascii="Sylfaen" w:eastAsia="Calibri" w:hAnsi="Sylfaen" w:cs="Sylfaen"/>
          <w:b/>
          <w:kern w:val="0"/>
          <w14:ligatures w14:val="none"/>
        </w:rPr>
        <w:t>D</w:t>
      </w:r>
      <w:r w:rsidR="00574DA5"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ebt 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- as of </w:t>
      </w:r>
      <w:r w:rsidR="00574DA5"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 xml:space="preserve">31 </w:t>
      </w: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>December 2022</w:t>
      </w:r>
    </w:p>
    <w:p w14:paraId="4D0F29D7" w14:textId="77777777" w:rsidR="00F7331D" w:rsidRPr="00D1661C" w:rsidRDefault="00F7331D" w:rsidP="00F7331D">
      <w:pPr>
        <w:tabs>
          <w:tab w:val="left" w:pos="360"/>
        </w:tabs>
        <w:spacing w:after="0" w:line="240" w:lineRule="auto"/>
        <w:jc w:val="center"/>
        <w:rPr>
          <w:rFonts w:ascii="Sylfaen" w:eastAsia="Calibri" w:hAnsi="Sylfaen" w:cs="Calibri"/>
          <w:b/>
          <w:kern w:val="0"/>
          <w:lang w:val="ka-GE"/>
          <w14:ligatures w14:val="none"/>
        </w:rPr>
      </w:pPr>
    </w:p>
    <w:tbl>
      <w:tblPr>
        <w:tblW w:w="10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92"/>
        <w:gridCol w:w="1503"/>
        <w:gridCol w:w="1408"/>
        <w:gridCol w:w="1387"/>
        <w:gridCol w:w="1240"/>
        <w:gridCol w:w="908"/>
      </w:tblGrid>
      <w:tr w:rsidR="00A15F4E" w:rsidRPr="00D1661C" w14:paraId="2DD46368" w14:textId="77777777" w:rsidTr="0046679F">
        <w:trPr>
          <w:trHeight w:val="945"/>
          <w:tblHeader/>
        </w:trPr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C50BA0" w14:textId="322303E3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b/>
                <w:bCs/>
                <w:sz w:val="16"/>
                <w:szCs w:val="16"/>
              </w:rPr>
              <w:t xml:space="preserve">Creditor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5BCFE4" w14:textId="0458FBAD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b/>
                <w:bCs/>
                <w:sz w:val="16"/>
                <w:szCs w:val="16"/>
              </w:rPr>
              <w:t>Credit currency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A49F" w14:textId="77777777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B</w:t>
            </w:r>
            <w:r w:rsidRPr="00D1661C">
              <w:rPr>
                <w:rFonts w:ascii="Sylfaen" w:eastAsia="Times New Roman" w:hAnsi="Sylfaen" w:cs="Sylfaen"/>
                <w:b/>
                <w:bCs/>
                <w:kern w:val="0"/>
                <w:sz w:val="16"/>
                <w:szCs w:val="16"/>
                <w14:ligatures w14:val="none"/>
              </w:rPr>
              <w:t>alance</w:t>
            </w:r>
          </w:p>
          <w:p w14:paraId="184344B5" w14:textId="0784E959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kern w:val="0"/>
                <w:sz w:val="16"/>
                <w:szCs w:val="16"/>
                <w14:ligatures w14:val="none"/>
              </w:rPr>
              <w:t xml:space="preserve">  thousand US dollars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C57D" w14:textId="77777777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Balance </w:t>
            </w:r>
          </w:p>
          <w:p w14:paraId="67AF965D" w14:textId="5C7D0E26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Thousand Lari 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59FB" w14:textId="39F06287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Interest rate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D71C" w14:textId="377853FE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Interest rate for the given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940B6" w14:textId="1E028E9D" w:rsidR="00F60A9C" w:rsidRPr="00D1661C" w:rsidRDefault="00F60A9C" w:rsidP="00F60A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weighted interest rate</w:t>
            </w:r>
          </w:p>
        </w:tc>
      </w:tr>
      <w:tr w:rsidR="0046679F" w:rsidRPr="00D1661C" w14:paraId="5A49B9F7" w14:textId="77777777" w:rsidTr="0046679F">
        <w:trPr>
          <w:trHeight w:val="330"/>
        </w:trPr>
        <w:tc>
          <w:tcPr>
            <w:tcW w:w="4242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F645BA" w14:textId="14A6ED68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External debt of the government</w:t>
            </w:r>
          </w:p>
        </w:tc>
        <w:tc>
          <w:tcPr>
            <w:tcW w:w="148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DCC3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7 917 096</w:t>
            </w:r>
          </w:p>
        </w:tc>
        <w:tc>
          <w:tcPr>
            <w:tcW w:w="139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EFECB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21 391 992</w:t>
            </w:r>
          </w:p>
        </w:tc>
        <w:tc>
          <w:tcPr>
            <w:tcW w:w="137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58EBB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56BC8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AFE4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i/>
                <w:i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46679F" w:rsidRPr="00D1661C" w14:paraId="7576149D" w14:textId="77777777" w:rsidTr="0046679F">
        <w:trPr>
          <w:trHeight w:val="270"/>
        </w:trPr>
        <w:tc>
          <w:tcPr>
            <w:tcW w:w="4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9702035" w14:textId="473F1DC0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kern w:val="0"/>
                <w:sz w:val="16"/>
                <w:szCs w:val="16"/>
                <w14:ligatures w14:val="none"/>
              </w:rPr>
              <w:t>Multilateral creditors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90652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5 815 273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86339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15 712 867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76AD5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E5530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AFEF2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A15F4E" w:rsidRPr="00D1661C" w14:paraId="7F57223F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B163" w14:textId="171C2FA6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International Development Association (WB - IDA)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019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SDR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43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479 180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9999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1 294 744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7289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D6C7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801B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0.045%</w:t>
            </w:r>
          </w:p>
        </w:tc>
      </w:tr>
      <w:tr w:rsidR="0046679F" w:rsidRPr="00D1661C" w14:paraId="723EEA95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CE63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7D6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FF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212 242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5E0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573 477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071A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5087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3375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0.054%</w:t>
            </w:r>
          </w:p>
        </w:tc>
      </w:tr>
      <w:tr w:rsidR="0046679F" w:rsidRPr="00D1661C" w14:paraId="76DBCCDE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3835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409D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E8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7 608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AB9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20 556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464B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8CEC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132E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A15F4E" w:rsidRPr="00D1661C" w14:paraId="3F4118AC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5CE1" w14:textId="454AF9AB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International Bank for Reconstruction and Development (WB - IBRD)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03E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5D9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96 075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A8E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259 596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6208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A8B8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75B2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0.017%</w:t>
            </w:r>
          </w:p>
        </w:tc>
      </w:tr>
      <w:tr w:rsidR="0046679F" w:rsidRPr="00D1661C" w14:paraId="08E21625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C6416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88585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DE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5 702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FD0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15 405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5E46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B62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3F09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57803731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846E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423D7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3D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AF4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20 016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63B6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084E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7602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626097B1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4524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356F6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EFF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8CF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19 239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A402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B7F7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4EE2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25FC0F45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85F7B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3C70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D1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6 561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75A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17 728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0192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0C6D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8839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6F2F49DF" w14:textId="77777777" w:rsidTr="0046679F">
        <w:trPr>
          <w:trHeight w:val="25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2898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2FA7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EC8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272 267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7D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735 667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9351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Euribor+VS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67D9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2.37%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DA3B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0.081%</w:t>
            </w:r>
          </w:p>
        </w:tc>
      </w:tr>
      <w:tr w:rsidR="0046679F" w:rsidRPr="00D1661C" w14:paraId="62317011" w14:textId="77777777" w:rsidTr="0046679F">
        <w:trPr>
          <w:trHeight w:val="31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1E36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B5C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7C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909 856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520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2 458 430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B08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 xml:space="preserve"> Ref.Rate+VS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0AE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4.63%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D33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0.532%</w:t>
            </w:r>
          </w:p>
        </w:tc>
      </w:tr>
      <w:tr w:rsidR="00A15F4E" w:rsidRPr="00D1661C" w14:paraId="67F388F9" w14:textId="77777777" w:rsidTr="0046679F">
        <w:trPr>
          <w:trHeight w:val="22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37E3" w14:textId="328441F0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International Fund for Agricultural Development (IFAD)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AEA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SDR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C09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15 596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655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42 141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326C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2686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0.75%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CB47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46679F" w:rsidRPr="00D1661C" w14:paraId="29199559" w14:textId="77777777" w:rsidTr="0046679F">
        <w:trPr>
          <w:trHeight w:val="225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B990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7B83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54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9 352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A15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25 269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B281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E285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E629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173A3B3F" w14:textId="77777777" w:rsidTr="0046679F">
        <w:trPr>
          <w:trHeight w:val="465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444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6CE7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3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2 886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4E9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7 798.94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1942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(Ref.Rate + IBRD VS)/2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D76D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1.29%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49AF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A15F4E" w:rsidRPr="00D1661C" w14:paraId="70624217" w14:textId="77777777" w:rsidTr="0046679F">
        <w:trPr>
          <w:trHeight w:val="420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8BDF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B56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CD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9 165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703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24 763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C79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Euribor+VS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9F55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3.26%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63D1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13BE76E7" w14:textId="77777777" w:rsidTr="0046679F">
        <w:trPr>
          <w:trHeight w:val="480"/>
        </w:trPr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690A" w14:textId="088104CF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International Monetary Fund (IMF EFF, MOF)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61B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SDR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B4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195 634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8D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528 603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0EE1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SDR Rate of Charge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30C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3.92%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8AF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0.097%</w:t>
            </w:r>
          </w:p>
        </w:tc>
      </w:tr>
      <w:tr w:rsidR="0046679F" w:rsidRPr="00D1661C" w14:paraId="75F5B048" w14:textId="77777777" w:rsidTr="0046679F">
        <w:trPr>
          <w:trHeight w:val="285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419B" w14:textId="7BF0302F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European Union (EU)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87F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79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101 413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31D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274 018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11E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63A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0.13%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888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18B50ADA" w14:textId="77777777" w:rsidTr="0046679F">
        <w:trPr>
          <w:trHeight w:val="28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A30E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3550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73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10 675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303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28 844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03DF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5147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0.52%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F629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46679F" w:rsidRPr="00D1661C" w14:paraId="7ACB6094" w14:textId="77777777" w:rsidTr="0046679F">
        <w:trPr>
          <w:trHeight w:val="28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0D2E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A28F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23B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13 878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D0B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37 497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AF7A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AD9D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1.16%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30A3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37DC5862" w14:textId="77777777" w:rsidTr="0046679F">
        <w:trPr>
          <w:trHeight w:val="28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F8FC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D90D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AB1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16 013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F28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43 266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3F0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AD2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1.25%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FD3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0.003%</w:t>
            </w:r>
          </w:p>
        </w:tc>
      </w:tr>
      <w:tr w:rsidR="00A15F4E" w:rsidRPr="00D1661C" w14:paraId="4FF99D5C" w14:textId="77777777" w:rsidTr="0046679F">
        <w:trPr>
          <w:trHeight w:val="510"/>
        </w:trPr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6CB0" w14:textId="3149340C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European Bank for Reconstruction and Development (EBRD)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618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07E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237 208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42A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640 936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069B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Euribor+ 1%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5618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2.56%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B918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0.077%</w:t>
            </w:r>
          </w:p>
        </w:tc>
      </w:tr>
      <w:tr w:rsidR="0046679F" w:rsidRPr="00D1661C" w14:paraId="0B36F8D6" w14:textId="77777777" w:rsidTr="0046679F">
        <w:trPr>
          <w:trHeight w:val="240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5AA" w14:textId="258792C0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Asian Development Bank (ADB)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CC2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SDR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7D6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52 406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25A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141 602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187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3C5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9BF2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0.007%</w:t>
            </w:r>
          </w:p>
        </w:tc>
      </w:tr>
      <w:tr w:rsidR="0046679F" w:rsidRPr="00D1661C" w14:paraId="38A926B3" w14:textId="77777777" w:rsidTr="0046679F">
        <w:trPr>
          <w:trHeight w:val="24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4F006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FE8F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86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244 303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F09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660 106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F19B0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7B5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1.50%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A897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0.046%</w:t>
            </w:r>
          </w:p>
        </w:tc>
      </w:tr>
      <w:tr w:rsidR="0046679F" w:rsidRPr="00D1661C" w14:paraId="1B48F1C5" w14:textId="77777777" w:rsidTr="0046679F">
        <w:trPr>
          <w:trHeight w:val="24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E73E6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145A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35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21 826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EF1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58 974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17B2A0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6E3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1.60%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998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6EFD66DA" w14:textId="77777777" w:rsidTr="0046679F">
        <w:trPr>
          <w:trHeight w:val="21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FDED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DADC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145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174 517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64E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471 545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19E1D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E33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1C27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0.044%</w:t>
            </w:r>
          </w:p>
        </w:tc>
      </w:tr>
      <w:tr w:rsidR="0046679F" w:rsidRPr="00D1661C" w14:paraId="3D5981DA" w14:textId="77777777" w:rsidTr="0046679F">
        <w:trPr>
          <w:trHeight w:val="21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FB88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D15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52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98 533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320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266 236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94ECBF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34E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0.24%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A444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0.003%</w:t>
            </w:r>
          </w:p>
        </w:tc>
      </w:tr>
      <w:tr w:rsidR="0046679F" w:rsidRPr="00D1661C" w14:paraId="39A4C99A" w14:textId="77777777" w:rsidTr="0046679F">
        <w:trPr>
          <w:trHeight w:val="21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754EC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BB9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81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75 750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5A4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204 677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49BD7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696B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0.33%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901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0.003%</w:t>
            </w:r>
          </w:p>
        </w:tc>
      </w:tr>
      <w:tr w:rsidR="0046679F" w:rsidRPr="00D1661C" w14:paraId="0C876FA4" w14:textId="77777777" w:rsidTr="0046679F">
        <w:trPr>
          <w:trHeight w:val="21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6ED7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C3E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37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182 355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DA2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492 722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20E4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8C32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0.39%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3F12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0.009%</w:t>
            </w:r>
          </w:p>
        </w:tc>
      </w:tr>
      <w:tr w:rsidR="0046679F" w:rsidRPr="00D1661C" w14:paraId="5577A779" w14:textId="77777777" w:rsidTr="0046679F">
        <w:trPr>
          <w:trHeight w:val="28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28D77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F27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A3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45 279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8BD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122 345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726023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EF3B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0.64%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759A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5B4C6DAE" w14:textId="77777777" w:rsidTr="0046679F">
        <w:trPr>
          <w:trHeight w:val="30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0A93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ADA5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B8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781 157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E41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2 110 685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7B0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Euribor+FS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48CE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2.31%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D171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0.228%</w:t>
            </w:r>
          </w:p>
        </w:tc>
      </w:tr>
      <w:tr w:rsidR="0046679F" w:rsidRPr="00D1661C" w14:paraId="2A2E2411" w14:textId="77777777" w:rsidTr="0046679F">
        <w:trPr>
          <w:trHeight w:val="40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8844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758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8B6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396 181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7CF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1 070 480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4C97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Ref.Rate+FS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63A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4.33%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932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0.217%</w:t>
            </w:r>
          </w:p>
        </w:tc>
      </w:tr>
      <w:tr w:rsidR="0046679F" w:rsidRPr="00D1661C" w14:paraId="221814DF" w14:textId="77777777" w:rsidTr="0046679F">
        <w:trPr>
          <w:trHeight w:val="24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A2B" w14:textId="3E895E6D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Asian Infrastructure Development Bank (AIIB)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93D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A1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53 176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5A8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143 680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F64F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Ref.Rate+VS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A6C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5.24%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EF4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0.035%</w:t>
            </w:r>
          </w:p>
        </w:tc>
      </w:tr>
      <w:tr w:rsidR="0046679F" w:rsidRPr="00D1661C" w14:paraId="059174AC" w14:textId="77777777" w:rsidTr="0046679F">
        <w:trPr>
          <w:trHeight w:val="240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75F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857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59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94 889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4C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256 390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4BDB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Euribor+VS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E26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5E9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0.020%</w:t>
            </w:r>
          </w:p>
        </w:tc>
      </w:tr>
      <w:tr w:rsidR="0046679F" w:rsidRPr="00D1661C" w14:paraId="22B04DCC" w14:textId="77777777" w:rsidTr="0046679F">
        <w:trPr>
          <w:trHeight w:val="240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9079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4F51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BCB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48 038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1CF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129 798</w:t>
            </w: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53AFFC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387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2.45%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89A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0.015%</w:t>
            </w:r>
          </w:p>
        </w:tc>
      </w:tr>
      <w:tr w:rsidR="0046679F" w:rsidRPr="00D1661C" w14:paraId="7961A91A" w14:textId="77777777" w:rsidTr="0046679F">
        <w:trPr>
          <w:trHeight w:val="300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B6E" w14:textId="7BE84B5A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Council of Europe Development Bank (CEB)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806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E8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8 317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429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22 472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EA63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ACD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005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7F108C79" w14:textId="77777777" w:rsidTr="0046679F">
        <w:trPr>
          <w:trHeight w:val="30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48ED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76F3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3B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2C5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2 600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D707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Euribor+VS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C99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8F6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46679F" w:rsidRPr="00D1661C" w14:paraId="04DDA67B" w14:textId="77777777" w:rsidTr="0046679F">
        <w:trPr>
          <w:trHeight w:val="270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F10C" w14:textId="40344E71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European Investment Bank (EIB)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333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FD33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493 191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6E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1 332 602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C2A9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18A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1.33%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CBA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0.083%</w:t>
            </w:r>
          </w:p>
        </w:tc>
      </w:tr>
      <w:tr w:rsidR="0046679F" w:rsidRPr="00D1661C" w14:paraId="07F34062" w14:textId="77777777" w:rsidTr="0046679F">
        <w:trPr>
          <w:trHeight w:val="36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63DF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C3BC6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BFF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426 460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132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1 152 295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66A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Euribor+FS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0A4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2.08%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32E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0.112%</w:t>
            </w:r>
          </w:p>
        </w:tc>
      </w:tr>
      <w:tr w:rsidR="0046679F" w:rsidRPr="00D1661C" w14:paraId="58C8816F" w14:textId="77777777" w:rsidTr="0046679F">
        <w:trPr>
          <w:trHeight w:val="465"/>
        </w:trPr>
        <w:tc>
          <w:tcPr>
            <w:tcW w:w="3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F5E" w14:textId="12903DE9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kern w:val="0"/>
                <w:sz w:val="18"/>
                <w:szCs w:val="18"/>
                <w14:ligatures w14:val="none"/>
              </w:rPr>
              <w:t>Nordic Environment Finance Corporation (NEFCO)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72BB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1A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2 096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C3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5 663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768A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Euribor+VS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7B2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2.76%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4E88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A15F4E" w:rsidRPr="00D1661C" w14:paraId="0A10DDB5" w14:textId="77777777" w:rsidTr="0046679F">
        <w:trPr>
          <w:trHeight w:val="270"/>
        </w:trPr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F1A6AD9" w14:textId="3C6C03BA" w:rsidR="00F7331D" w:rsidRPr="00D1661C" w:rsidRDefault="00A15F4E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kern w:val="0"/>
                <w:sz w:val="18"/>
                <w:szCs w:val="18"/>
                <w14:ligatures w14:val="none"/>
              </w:rPr>
              <w:t xml:space="preserve">Bilateral Creditors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381D368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982F0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1 600 597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751B947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4 324 814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3D8B11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0D06D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CB01CC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A15F4E" w:rsidRPr="00D1661C" w14:paraId="1225D341" w14:textId="77777777" w:rsidTr="0046679F">
        <w:trPr>
          <w:trHeight w:val="195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162020" w14:textId="3B8F5569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Austria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4E62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88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14 228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2B4C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38 443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8D70E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F02C4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9C209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A15F4E" w:rsidRPr="00D1661C" w14:paraId="74193671" w14:textId="77777777" w:rsidTr="0046679F">
        <w:trPr>
          <w:trHeight w:val="195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61218" w14:textId="348A215F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Azerbaijan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065F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AAE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3 240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9BD5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8 755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BECF6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E3DC9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50622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A15F4E" w:rsidRPr="00D1661C" w14:paraId="11276417" w14:textId="77777777" w:rsidTr="0046679F">
        <w:trPr>
          <w:trHeight w:val="195"/>
        </w:trPr>
        <w:tc>
          <w:tcPr>
            <w:tcW w:w="3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4A8311" w14:textId="53F7AA81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Turkmenistan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D9F2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10A6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9455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66D8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4960E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D71E5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A15F4E" w:rsidRPr="00D1661C" w14:paraId="76BA4D9E" w14:textId="77777777" w:rsidTr="0046679F">
        <w:trPr>
          <w:trHeight w:val="195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909C" w14:textId="586F3D64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Turkey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8ABD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4DF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6 309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426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17 047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34FC4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8170D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3.13%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92982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A15F4E" w:rsidRPr="00D1661C" w14:paraId="4ADBAA81" w14:textId="77777777" w:rsidTr="0046679F">
        <w:trPr>
          <w:trHeight w:val="195"/>
        </w:trPr>
        <w:tc>
          <w:tcPr>
            <w:tcW w:w="3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40AE17" w14:textId="27E0EB78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Iran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A6C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4ABA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2 363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8AC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6 386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4B98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E4396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BFA4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A15F4E" w:rsidRPr="00D1661C" w14:paraId="3CB7EA04" w14:textId="77777777" w:rsidTr="0046679F">
        <w:trPr>
          <w:trHeight w:val="195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EBFB" w14:textId="36EA4755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Russia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E33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F1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25 436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D25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68 728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43D6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4848A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D8018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0.013%</w:t>
            </w:r>
          </w:p>
        </w:tc>
      </w:tr>
      <w:tr w:rsidR="00A15F4E" w:rsidRPr="00D1661C" w14:paraId="6CC2BDAE" w14:textId="77777777" w:rsidTr="0046679F">
        <w:trPr>
          <w:trHeight w:val="195"/>
        </w:trPr>
        <w:tc>
          <w:tcPr>
            <w:tcW w:w="3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99785C" w14:textId="49154F8E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Armenia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6A9D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95A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2 858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D65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7 723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A05D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E10B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35A79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A15F4E" w:rsidRPr="00D1661C" w14:paraId="67668DC7" w14:textId="77777777" w:rsidTr="0046679F">
        <w:trPr>
          <w:trHeight w:val="195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A15E" w14:textId="16CA5C03" w:rsidR="00A15F4E" w:rsidRPr="00D1661C" w:rsidRDefault="00A15F4E" w:rsidP="00A15F4E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Kazakhstan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4F03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B51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3 524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7467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9 523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E732D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646F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ABD22" w14:textId="77777777" w:rsidR="00A15F4E" w:rsidRPr="00D1661C" w:rsidRDefault="00A15F4E" w:rsidP="00A15F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6298086D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CBA841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lastRenderedPageBreak/>
              <w:t>Germany (KfW)</w:t>
            </w:r>
          </w:p>
          <w:p w14:paraId="6459EF9F" w14:textId="3533FF08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88EA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774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123 381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21A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333 376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D51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 xml:space="preserve"> Euribor+ FS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2A46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3.04%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91E3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0.047%</w:t>
            </w:r>
          </w:p>
        </w:tc>
      </w:tr>
      <w:tr w:rsidR="0046679F" w:rsidRPr="00D1661C" w14:paraId="1D6E06A9" w14:textId="77777777" w:rsidTr="0046679F">
        <w:trPr>
          <w:trHeight w:val="195"/>
        </w:trPr>
        <w:tc>
          <w:tcPr>
            <w:tcW w:w="355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83A80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38D5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8C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503 000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8F8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1 359 105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6ED79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1423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5997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0.074%</w:t>
            </w:r>
          </w:p>
        </w:tc>
      </w:tr>
      <w:tr w:rsidR="0046679F" w:rsidRPr="00D1661C" w14:paraId="76BD6F77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E361AD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Japan</w:t>
            </w:r>
          </w:p>
          <w:p w14:paraId="2102485B" w14:textId="3E128E21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A8F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JPY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7AB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20 660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6F0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55 824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854A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3611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120A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46679F" w:rsidRPr="00D1661C" w14:paraId="7C8D6DF0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C6A2429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A2384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B0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103 555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B62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279 807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2667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0849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0.65%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888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0.009%</w:t>
            </w:r>
          </w:p>
        </w:tc>
      </w:tr>
      <w:tr w:rsidR="0046679F" w:rsidRPr="00D1661C" w14:paraId="1B9679CA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8BF8F6A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DBFD5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E8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EEB3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1 626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F1CF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65A8A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1.30%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C25E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46679F" w:rsidRPr="00D1661C" w14:paraId="057FC504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6CB0BAE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BFA9F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748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21 375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5FC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57 757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8243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309AF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74A0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0.004%</w:t>
            </w:r>
          </w:p>
        </w:tc>
      </w:tr>
      <w:tr w:rsidR="0046679F" w:rsidRPr="00D1661C" w14:paraId="7AD0B58F" w14:textId="77777777" w:rsidTr="0046679F">
        <w:trPr>
          <w:trHeight w:val="195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1B5CF19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9EBE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9C63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10 841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791A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29 292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2AD18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29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2.30%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D49B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0.003%</w:t>
            </w:r>
          </w:p>
        </w:tc>
      </w:tr>
      <w:tr w:rsidR="0046679F" w:rsidRPr="00D1661C" w14:paraId="7EEBFE98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94A9E9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:lang w:val="ka-GE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Kuwait</w:t>
            </w:r>
          </w:p>
          <w:p w14:paraId="33D219DF" w14:textId="122F246A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:lang w:val="ka-GE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61A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KWD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46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7 101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0FA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19 186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2E1F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DE0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2.50%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D6A18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6E1F8344" w14:textId="77777777" w:rsidTr="0046679F">
        <w:trPr>
          <w:trHeight w:val="195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3124B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9180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B59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5 207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3BE3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14 071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F66D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9AEE9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7E1D6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0.002%</w:t>
            </w:r>
          </w:p>
        </w:tc>
      </w:tr>
      <w:tr w:rsidR="0046679F" w:rsidRPr="00D1661C" w14:paraId="28477AD0" w14:textId="77777777" w:rsidTr="0046679F">
        <w:trPr>
          <w:trHeight w:val="300"/>
        </w:trPr>
        <w:tc>
          <w:tcPr>
            <w:tcW w:w="3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FBAE34" w14:textId="79CAA5D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:lang w:val="ka-GE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Kingdom of the Netherlands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ED5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E988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ED9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04B8A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EC1E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098E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46679F" w:rsidRPr="00D1661C" w14:paraId="73E74C48" w14:textId="77777777" w:rsidTr="0046679F">
        <w:trPr>
          <w:trHeight w:val="19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94EB76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USA</w:t>
            </w:r>
          </w:p>
          <w:p w14:paraId="593F58AD" w14:textId="61B7005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B9E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3FE3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4 739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BC36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12 806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927C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8C88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2A45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46679F" w:rsidRPr="00D1661C" w14:paraId="266D369E" w14:textId="77777777" w:rsidTr="0046679F">
        <w:trPr>
          <w:trHeight w:val="195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666C95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03E82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BC6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2 293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F029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6 196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1179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27BE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93A4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46679F" w:rsidRPr="00D1661C" w14:paraId="5A0AE5C7" w14:textId="77777777" w:rsidTr="0046679F">
        <w:trPr>
          <w:trHeight w:val="195"/>
        </w:trPr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D5253D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66D4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2C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3 829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9DD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10 345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6205F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4A45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8B68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0.001%</w:t>
            </w:r>
          </w:p>
        </w:tc>
      </w:tr>
      <w:tr w:rsidR="0046679F" w:rsidRPr="00D1661C" w14:paraId="0C1C5530" w14:textId="77777777" w:rsidTr="0046679F">
        <w:trPr>
          <w:trHeight w:val="270"/>
        </w:trPr>
        <w:tc>
          <w:tcPr>
            <w:tcW w:w="35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EE141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France</w:t>
            </w:r>
          </w:p>
          <w:p w14:paraId="6F1DEAB1" w14:textId="2EA24286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7B9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4D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492 293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B1D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1 330 176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D352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C43C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1.08%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FF3E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0.067%</w:t>
            </w:r>
          </w:p>
        </w:tc>
      </w:tr>
      <w:tr w:rsidR="0046679F" w:rsidRPr="00D1661C" w14:paraId="08AA1BBE" w14:textId="77777777" w:rsidTr="0046679F">
        <w:trPr>
          <w:trHeight w:val="270"/>
        </w:trPr>
        <w:tc>
          <w:tcPr>
            <w:tcW w:w="3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5FCC05F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CBD40" w14:textId="77777777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7B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243 480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BA2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657 882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4C76F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Euribor + FS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3AF8F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1.74%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307A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0.054%</w:t>
            </w:r>
          </w:p>
        </w:tc>
      </w:tr>
      <w:tr w:rsidR="0046679F" w:rsidRPr="00D1661C" w14:paraId="0215A0EC" w14:textId="77777777" w:rsidTr="0046679F">
        <w:trPr>
          <w:trHeight w:val="285"/>
        </w:trPr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00F6FBBA" w14:textId="4B102EE8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b/>
                <w:bCs/>
                <w:sz w:val="16"/>
                <w:szCs w:val="16"/>
              </w:rPr>
              <w:t>Securities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E23CEC9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C0C20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500 000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3E12136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1 351 000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C3E47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218161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D244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46679F" w:rsidRPr="00D1661C" w14:paraId="37871344" w14:textId="77777777" w:rsidTr="0046679F">
        <w:trPr>
          <w:trHeight w:val="27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CB2B38" w14:textId="3F0C0B7D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Eurobond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C0A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USD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E0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500 000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9B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1 351 000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1E4B3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F71BA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2.750%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AF072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0.174%</w:t>
            </w:r>
          </w:p>
        </w:tc>
      </w:tr>
      <w:tr w:rsidR="0046679F" w:rsidRPr="00D1661C" w14:paraId="5EF08498" w14:textId="77777777" w:rsidTr="0046679F">
        <w:trPr>
          <w:trHeight w:val="300"/>
        </w:trPr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53FAE6FA" w14:textId="3DBFFE41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b/>
                <w:bCs/>
                <w:sz w:val="16"/>
                <w:szCs w:val="16"/>
              </w:rPr>
              <w:t>Guaranteed credits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B7BE567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B1C7F6D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1 225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515EB9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3 311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FABCF25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36CCE0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5EB91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46679F" w:rsidRPr="00D1661C" w14:paraId="285ADD1B" w14:textId="77777777" w:rsidTr="0046679F">
        <w:trPr>
          <w:trHeight w:val="270"/>
        </w:trPr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1BAD1C" w14:textId="057525AF" w:rsidR="0046679F" w:rsidRPr="00D1661C" w:rsidRDefault="0046679F" w:rsidP="0046679F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Germany (KfW)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E89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EUR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6F8E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1 225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6DFC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3 311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01664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Fixed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7DCD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0B84B" w14:textId="77777777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0.000%</w:t>
            </w:r>
          </w:p>
        </w:tc>
      </w:tr>
      <w:tr w:rsidR="00F7331D" w:rsidRPr="00D1661C" w14:paraId="6FB97119" w14:textId="77777777" w:rsidTr="0046679F">
        <w:trPr>
          <w:trHeight w:val="495"/>
        </w:trPr>
        <w:tc>
          <w:tcPr>
            <w:tcW w:w="4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10FB4" w14:textId="77777777" w:rsidR="00F7331D" w:rsidRPr="00D1661C" w:rsidRDefault="00F7331D" w:rsidP="00F7331D">
            <w:pPr>
              <w:spacing w:after="0" w:line="240" w:lineRule="auto"/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243D64" w14:textId="37C9FE29" w:rsidR="00F7331D" w:rsidRPr="00D1661C" w:rsidRDefault="0046679F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weighted average interest 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53E65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2.23%</w:t>
            </w:r>
          </w:p>
        </w:tc>
      </w:tr>
    </w:tbl>
    <w:p w14:paraId="3834BAD4" w14:textId="77777777" w:rsidR="00F7331D" w:rsidRPr="00D1661C" w:rsidRDefault="00F7331D" w:rsidP="00F7331D">
      <w:pPr>
        <w:tabs>
          <w:tab w:val="left" w:pos="360"/>
        </w:tabs>
        <w:spacing w:after="0" w:line="240" w:lineRule="auto"/>
        <w:jc w:val="center"/>
        <w:rPr>
          <w:rFonts w:ascii="Sylfaen" w:eastAsia="Calibri" w:hAnsi="Sylfaen" w:cs="Calibri"/>
          <w:b/>
          <w:kern w:val="0"/>
          <w14:ligatures w14:val="none"/>
        </w:rPr>
      </w:pPr>
    </w:p>
    <w:p w14:paraId="59F01C79" w14:textId="7AD51D0E" w:rsidR="00F7331D" w:rsidRPr="00D1661C" w:rsidRDefault="00574DA5" w:rsidP="00F7331D">
      <w:pPr>
        <w:tabs>
          <w:tab w:val="left" w:pos="9072"/>
        </w:tabs>
        <w:spacing w:after="200" w:line="240" w:lineRule="auto"/>
        <w:ind w:firstLine="72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1,207,226.8 thousand GEL was spent from the state budget of Georgia in 2022 to service and cover the government's external obligations, including 970,865.5 thousand GEL - for the repayment of the principal amount, and 236,361.3 thousand GEL - for the interest amount.</w:t>
      </w:r>
    </w:p>
    <w:p w14:paraId="6B813668" w14:textId="7E957776" w:rsidR="00F7331D" w:rsidRPr="00D1661C" w:rsidRDefault="00574DA5" w:rsidP="00F7331D">
      <w:pPr>
        <w:spacing w:after="200" w:line="276" w:lineRule="auto"/>
        <w:jc w:val="center"/>
        <w:rPr>
          <w:rFonts w:ascii="Sylfaen" w:eastAsia="Calibri" w:hAnsi="Sylfaen" w:cs="Calibri"/>
          <w:b/>
          <w:kern w:val="0"/>
          <w:lang w:val="ka-GE"/>
          <w14:ligatures w14:val="none"/>
        </w:rPr>
      </w:pPr>
      <w:r w:rsidRPr="00D1661C">
        <w:rPr>
          <w:rFonts w:ascii="Sylfaen" w:eastAsia="Calibri" w:hAnsi="Sylfaen" w:cs="Sylfaen"/>
          <w:b/>
          <w:kern w:val="0"/>
          <w:szCs w:val="18"/>
          <w:shd w:val="clear" w:color="auto" w:fill="FFFFFF"/>
          <w:lang w:val="ka-GE"/>
          <w14:ligatures w14:val="none"/>
        </w:rPr>
        <w:t xml:space="preserve">Servicing and repayment of </w:t>
      </w:r>
      <w:r w:rsidRPr="00D1661C">
        <w:rPr>
          <w:rFonts w:ascii="Sylfaen" w:eastAsia="Calibri" w:hAnsi="Sylfaen" w:cs="Sylfaen"/>
          <w:b/>
          <w:kern w:val="0"/>
          <w:szCs w:val="18"/>
          <w:shd w:val="clear" w:color="auto" w:fill="FFFFFF"/>
          <w14:ligatures w14:val="none"/>
        </w:rPr>
        <w:t xml:space="preserve">external obligations </w:t>
      </w:r>
      <w:r w:rsidRPr="00D1661C">
        <w:rPr>
          <w:rFonts w:ascii="Sylfaen" w:eastAsia="Calibri" w:hAnsi="Sylfaen" w:cs="Sylfaen"/>
          <w:b/>
          <w:kern w:val="0"/>
          <w:szCs w:val="18"/>
          <w:shd w:val="clear" w:color="auto" w:fill="FFFFFF"/>
          <w:lang w:val="ka-GE"/>
          <w14:ligatures w14:val="none"/>
        </w:rPr>
        <w:t>as of 31 December 2022</w:t>
      </w:r>
    </w:p>
    <w:p w14:paraId="57111590" w14:textId="10283BB5" w:rsidR="00F7331D" w:rsidRPr="00D1661C" w:rsidRDefault="00F7331D" w:rsidP="00F7331D">
      <w:pPr>
        <w:tabs>
          <w:tab w:val="left" w:pos="0"/>
        </w:tabs>
        <w:spacing w:after="0" w:line="240" w:lineRule="auto"/>
        <w:ind w:right="555" w:firstLine="720"/>
        <w:jc w:val="right"/>
        <w:rPr>
          <w:rFonts w:ascii="Sylfaen" w:eastAsia="Calibri" w:hAnsi="Sylfaen" w:cs="Calibri"/>
          <w:kern w:val="0"/>
          <w:sz w:val="16"/>
          <w:szCs w:val="16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:lang w:val="ka-GE"/>
          <w14:ligatures w14:val="none"/>
        </w:rPr>
        <w:tab/>
      </w:r>
      <w:r w:rsidR="0046679F" w:rsidRPr="00D1661C">
        <w:rPr>
          <w:rFonts w:ascii="Sylfaen" w:eastAsia="Calibri" w:hAnsi="Sylfaen" w:cs="Calibri"/>
          <w:b/>
          <w:i/>
          <w:noProof/>
          <w:color w:val="000000"/>
          <w:kern w:val="0"/>
          <w:sz w:val="18"/>
          <w:szCs w:val="18"/>
          <w14:ligatures w14:val="none"/>
        </w:rPr>
        <w:t>Thousand, GEL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2428"/>
        <w:gridCol w:w="2428"/>
        <w:gridCol w:w="2428"/>
      </w:tblGrid>
      <w:tr w:rsidR="00F7331D" w:rsidRPr="00D1661C" w14:paraId="2030E0A8" w14:textId="77777777" w:rsidTr="0046679F">
        <w:trPr>
          <w:trHeight w:hRule="exact" w:val="487"/>
          <w:tblHeader/>
        </w:trPr>
        <w:tc>
          <w:tcPr>
            <w:tcW w:w="137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510CD" w14:textId="5D89B8C8" w:rsidR="00F7331D" w:rsidRPr="00D1661C" w:rsidRDefault="0046679F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Creditors </w:t>
            </w:r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59FF" w14:textId="1765B1AF" w:rsidR="00F7331D" w:rsidRPr="00D1661C" w:rsidRDefault="0046679F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Debt repayment </w:t>
            </w:r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5717" w14:textId="70375CD1" w:rsidR="00F7331D" w:rsidRPr="00D1661C" w:rsidRDefault="0046679F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Interest</w:t>
            </w:r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0E3D3" w14:textId="4746C410" w:rsidR="00F7331D" w:rsidRPr="00D1661C" w:rsidRDefault="0046679F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Total 2022</w:t>
            </w:r>
          </w:p>
        </w:tc>
      </w:tr>
      <w:tr w:rsidR="0046679F" w:rsidRPr="00D1661C" w14:paraId="61167540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E27600E" w14:textId="6D526ED2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Austria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79CB674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3 416.3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21050E9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434.4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6FCF38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3 850.7</w:t>
            </w:r>
          </w:p>
        </w:tc>
      </w:tr>
      <w:tr w:rsidR="0046679F" w:rsidRPr="00D1661C" w14:paraId="462A6293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59D0CEA" w14:textId="566D5073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val="ka-GE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Kuwait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053FB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2 601.3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56AB0CB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935.1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0D16A4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3 536.5</w:t>
            </w:r>
          </w:p>
        </w:tc>
      </w:tr>
      <w:tr w:rsidR="0046679F" w:rsidRPr="00D1661C" w14:paraId="481B241A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31488CD" w14:textId="2C560D19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Japan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5D113C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18 862.1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F0F4C3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3 759.8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EAC884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22 621.9</w:t>
            </w:r>
          </w:p>
        </w:tc>
      </w:tr>
      <w:tr w:rsidR="0046679F" w:rsidRPr="00D1661C" w14:paraId="1ADFC3F2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444E378" w14:textId="6E2A9C59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Germany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1D74D41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147 695.7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BBAE92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24 478.8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A250FE7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172 174.5</w:t>
            </w:r>
          </w:p>
        </w:tc>
      </w:tr>
      <w:tr w:rsidR="0046679F" w:rsidRPr="00D1661C" w14:paraId="01FF6113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56CE924" w14:textId="3259B313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USA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E38D5D6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6 419.3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570185B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805.6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8633BF1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7 224.8</w:t>
            </w:r>
          </w:p>
        </w:tc>
      </w:tr>
      <w:tr w:rsidR="0046679F" w:rsidRPr="00D1661C" w14:paraId="6C0B9DA8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D3BC52F" w14:textId="0F512891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Armenia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086728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2 447.0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26A342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311.3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F5FDF71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2 758.3</w:t>
            </w:r>
          </w:p>
        </w:tc>
      </w:tr>
      <w:tr w:rsidR="0046679F" w:rsidRPr="00D1661C" w14:paraId="0BD03617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4AC2B4C" w14:textId="5BC74C3C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Azerbaijan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05C06D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2 774.0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3B3E9D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348.0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81DD70F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3 122.0</w:t>
            </w:r>
          </w:p>
        </w:tc>
      </w:tr>
      <w:tr w:rsidR="0046679F" w:rsidRPr="00D1661C" w14:paraId="5164FB44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B7C973" w14:textId="1A43DB78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Iran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B82A5B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2 023.4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A3D95E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254.0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7ACF5F8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2 277.4</w:t>
            </w:r>
          </w:p>
        </w:tc>
      </w:tr>
      <w:tr w:rsidR="0046679F" w:rsidRPr="00D1661C" w14:paraId="756B537B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A08472E" w14:textId="247A984B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Kazakhstan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A9F83A2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3 017.4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89A21C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511.8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F1CF838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3 529.2</w:t>
            </w:r>
          </w:p>
        </w:tc>
      </w:tr>
      <w:tr w:rsidR="0046679F" w:rsidRPr="00D1661C" w14:paraId="40343A08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16E9F67" w14:textId="11F67039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val="ka-GE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Kingdom of the Netherlands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E606DC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60.9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2A21AF6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10.7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FF11EB7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71.7</w:t>
            </w:r>
          </w:p>
        </w:tc>
      </w:tr>
      <w:tr w:rsidR="0046679F" w:rsidRPr="00D1661C" w14:paraId="510B08CC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EA31FCC" w14:textId="3552858E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Russia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07954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9 550.9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4F57E5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1 728.3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8FB702C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11 279.2</w:t>
            </w:r>
          </w:p>
        </w:tc>
      </w:tr>
      <w:tr w:rsidR="0046679F" w:rsidRPr="00D1661C" w14:paraId="2C7FEE98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F5D5885" w14:textId="0C928F34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Turkey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B19BB1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5 401.5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52A1900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744.4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B0DD3B8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6 145.8</w:t>
            </w:r>
          </w:p>
        </w:tc>
      </w:tr>
      <w:tr w:rsidR="0046679F" w:rsidRPr="00D1661C" w14:paraId="70995353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2F11243" w14:textId="4172A2F9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France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5567466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57 249.4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BC41A6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11 241.1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12F59E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68 490.6</w:t>
            </w:r>
          </w:p>
        </w:tc>
      </w:tr>
      <w:tr w:rsidR="0046679F" w:rsidRPr="00D1661C" w14:paraId="331200FB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1E97E1" w14:textId="521A1E6B" w:rsidR="0046679F" w:rsidRPr="00D1661C" w:rsidRDefault="0046679F" w:rsidP="004667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1661C">
              <w:rPr>
                <w:rFonts w:ascii="Sylfaen" w:hAnsi="Sylfaen"/>
                <w:sz w:val="16"/>
                <w:szCs w:val="16"/>
              </w:rPr>
              <w:t>China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B56EFA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1 132.9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86F374C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A94D95" w14:textId="77777777" w:rsidR="0046679F" w:rsidRPr="00D1661C" w:rsidRDefault="0046679F" w:rsidP="0046679F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1 132.9</w:t>
            </w:r>
          </w:p>
        </w:tc>
      </w:tr>
      <w:tr w:rsidR="00F7331D" w:rsidRPr="00D1661C" w14:paraId="0BD1A709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C6B55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IDA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6E8706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278 180.6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A3EE7A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23 365.6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A495F17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301 546.2</w:t>
            </w:r>
          </w:p>
        </w:tc>
      </w:tr>
      <w:tr w:rsidR="00F7331D" w:rsidRPr="00D1661C" w14:paraId="52A16871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01C829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IBRD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0686FBD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47 344.3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1936AE5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54 939.8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F78A6BC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102 284.1</w:t>
            </w:r>
          </w:p>
        </w:tc>
      </w:tr>
      <w:tr w:rsidR="00F7331D" w:rsidRPr="00D1661C" w14:paraId="1ACD26CC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30917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IFAD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34A4B78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4 850.1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43DF30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1 281.2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A0B1AD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6 131.3</w:t>
            </w:r>
          </w:p>
        </w:tc>
      </w:tr>
      <w:tr w:rsidR="00F7331D" w:rsidRPr="00D1661C" w14:paraId="77291415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617A2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EBRD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D56C2E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52 847.2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6A401BE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9 822.0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E3B87A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62 669.1</w:t>
            </w:r>
          </w:p>
        </w:tc>
      </w:tr>
      <w:tr w:rsidR="00F7331D" w:rsidRPr="00D1661C" w14:paraId="0949A80E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F45BE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EIB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2763A2F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33 788.6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A2D665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10 673.7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E07B8CE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44 462.3</w:t>
            </w:r>
          </w:p>
        </w:tc>
      </w:tr>
      <w:tr w:rsidR="00F7331D" w:rsidRPr="00D1661C" w14:paraId="028E5359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C0E63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ADB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84DCB77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290 450.6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B836022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35 647.7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A0BD245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326 098.3</w:t>
            </w:r>
          </w:p>
        </w:tc>
      </w:tr>
      <w:tr w:rsidR="00F7331D" w:rsidRPr="00D1661C" w14:paraId="3ABD1B9F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02C3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IMF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24DEEC3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2CD8E1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11 677.6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2D04392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11 677.6</w:t>
            </w:r>
          </w:p>
        </w:tc>
      </w:tr>
      <w:tr w:rsidR="00F7331D" w:rsidRPr="00D1661C" w14:paraId="2A038F83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D965AD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EU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61E5931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550813F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1 689.7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C7B1C90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1 689.7</w:t>
            </w:r>
          </w:p>
        </w:tc>
      </w:tr>
      <w:tr w:rsidR="00F7331D" w:rsidRPr="00D1661C" w14:paraId="6CAF3265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A56E34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CEB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81A406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67E3993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57.6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373632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57.6</w:t>
            </w:r>
          </w:p>
        </w:tc>
      </w:tr>
      <w:tr w:rsidR="00F7331D" w:rsidRPr="00D1661C" w14:paraId="30697B2A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2D3020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AIIB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9BF09A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16A0788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1 449.7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BAFC01A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1 449.7</w:t>
            </w:r>
          </w:p>
        </w:tc>
      </w:tr>
      <w:tr w:rsidR="00F7331D" w:rsidRPr="00D1661C" w14:paraId="2728E79B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A6CC4E" w14:textId="77777777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  <w:t>NEFCO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EF8A23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751.8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37384DF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153.6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1BD531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905.4</w:t>
            </w:r>
          </w:p>
        </w:tc>
      </w:tr>
      <w:tr w:rsidR="00F7331D" w:rsidRPr="00D1661C" w14:paraId="2D1F6B99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49E7C5" w14:textId="58F59BEF" w:rsidR="00F7331D" w:rsidRPr="00D1661C" w:rsidRDefault="0068566A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18"/>
                <w:szCs w:val="18"/>
                <w14:ligatures w14:val="none"/>
              </w:rPr>
              <w:t>Eurobonds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4D4ED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D5E1D3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40 040.0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45281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kern w:val="0"/>
                <w:sz w:val="18"/>
                <w:szCs w:val="18"/>
                <w14:ligatures w14:val="none"/>
              </w:rPr>
              <w:t>40 040.0</w:t>
            </w:r>
          </w:p>
        </w:tc>
      </w:tr>
      <w:tr w:rsidR="00F7331D" w:rsidRPr="00D1661C" w14:paraId="21FF45E8" w14:textId="77777777" w:rsidTr="0046679F">
        <w:trPr>
          <w:trHeight w:hRule="exact" w:val="284"/>
        </w:trPr>
        <w:tc>
          <w:tcPr>
            <w:tcW w:w="137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6F8860" w14:textId="1752C369" w:rsidR="00F7331D" w:rsidRPr="00D1661C" w:rsidRDefault="0068566A" w:rsidP="0068566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Total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6CFA2C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  <w:t>970 865.5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6A41584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  <w:t>236 361.3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FDA3A66" w14:textId="77777777" w:rsidR="00F7331D" w:rsidRPr="00D1661C" w:rsidRDefault="00F7331D" w:rsidP="00F7331D">
            <w:pPr>
              <w:spacing w:after="200" w:line="276" w:lineRule="auto"/>
              <w:jc w:val="center"/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D1661C">
              <w:rPr>
                <w:rFonts w:ascii="Sylfaen" w:eastAsia="Calibri" w:hAnsi="Sylfaen" w:cs="Calibri"/>
                <w:b/>
                <w:i/>
                <w:kern w:val="0"/>
                <w:sz w:val="18"/>
                <w:szCs w:val="18"/>
                <w14:ligatures w14:val="none"/>
              </w:rPr>
              <w:t>1 207 226.8</w:t>
            </w:r>
          </w:p>
        </w:tc>
      </w:tr>
    </w:tbl>
    <w:p w14:paraId="592989A8" w14:textId="77777777" w:rsidR="00F7331D" w:rsidRPr="00D1661C" w:rsidRDefault="00F7331D" w:rsidP="00F7331D">
      <w:pPr>
        <w:tabs>
          <w:tab w:val="left" w:pos="720"/>
        </w:tabs>
        <w:spacing w:after="120" w:line="240" w:lineRule="auto"/>
        <w:jc w:val="center"/>
        <w:rPr>
          <w:rFonts w:ascii="Sylfaen" w:eastAsia="Calibri" w:hAnsi="Sylfaen" w:cs="Calibri"/>
          <w:b/>
          <w:kern w:val="0"/>
          <w:sz w:val="12"/>
          <w:szCs w:val="12"/>
          <w:lang w:val="ka-GE"/>
          <w14:ligatures w14:val="none"/>
        </w:rPr>
      </w:pPr>
    </w:p>
    <w:p w14:paraId="2992CA99" w14:textId="77777777" w:rsidR="00F7331D" w:rsidRPr="00D1661C" w:rsidRDefault="00F7331D" w:rsidP="00F7331D">
      <w:pPr>
        <w:tabs>
          <w:tab w:val="left" w:pos="720"/>
        </w:tabs>
        <w:spacing w:after="120" w:line="240" w:lineRule="auto"/>
        <w:jc w:val="center"/>
        <w:rPr>
          <w:rFonts w:ascii="Sylfaen" w:eastAsia="Calibri" w:hAnsi="Sylfaen" w:cs="Calibri"/>
          <w:b/>
          <w:kern w:val="0"/>
          <w:sz w:val="12"/>
          <w:szCs w:val="12"/>
          <w:lang w:val="ka-GE"/>
          <w14:ligatures w14:val="none"/>
        </w:rPr>
      </w:pPr>
    </w:p>
    <w:p w14:paraId="7F731DE1" w14:textId="33FC26CD" w:rsidR="00F7331D" w:rsidRPr="00D1661C" w:rsidRDefault="00F7331D" w:rsidP="00F7331D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Cs w:val="21"/>
          <w:shd w:val="clear" w:color="auto" w:fill="FFFFFF"/>
          <w:lang w:val="ka-GE"/>
          <w14:ligatures w14:val="none"/>
        </w:rPr>
        <w:tab/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The Ministry of Finance of Georgia issued 6- and 12-month treasury bills and 2-, 5- and 10-year treasury bonds. As of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31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December 2022, the weighted average interest rates recorded at the last auctions of treasury bills and bonds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 equaled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: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in case of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6-month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term -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9.8%,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in case of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12-month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term -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9.5%,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in case of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2-year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term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- 9.0%,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in case of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5-year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term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- 8.8%,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in case of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10-year </w:t>
      </w:r>
      <w:r w:rsidR="0068566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term </w:t>
      </w:r>
      <w:r w:rsidR="00697257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- 8.9%.</w:t>
      </w:r>
    </w:p>
    <w:p w14:paraId="2FABDBD9" w14:textId="77777777" w:rsidR="00697257" w:rsidRPr="00D1661C" w:rsidRDefault="00697257" w:rsidP="00F7331D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eastAsia="Calibri" w:hAnsi="Sylfaen" w:cs="Calibri"/>
          <w:kern w:val="0"/>
          <w:shd w:val="clear" w:color="auto" w:fill="FFFFFF"/>
          <w:lang w:val="ka-GE"/>
          <w14:ligatures w14:val="none"/>
        </w:rPr>
      </w:pPr>
    </w:p>
    <w:p w14:paraId="776085A1" w14:textId="204CA50F" w:rsidR="00E87B05" w:rsidRPr="00D1661C" w:rsidRDefault="00E87B05" w:rsidP="00F7331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As a result of the issuance of securities, the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balance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of the government's domestic debt, as of 31 December 2022, 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equals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GEL 7 146.3 million (</w:t>
      </w:r>
      <w:r w:rsidR="0013512A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uncovered volume in denominations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- GEL 7 078.4 million and the balance of budget organizations - GEL 41.1 million)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, of which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6 832.3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GEL million represents the balance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of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treasury bills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and bonds, 272.8 million GEL -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balance of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bond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s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for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>NBG a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nd open market operations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and </w:t>
      </w:r>
      <w:r w:rsidR="00724444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41.1 million GEL </w:t>
      </w:r>
      <w:r w:rsidR="0047520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balance in the form of a </w:t>
      </w:r>
      <w:r w:rsidR="0047520C"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loan of budgetary organizations</w:t>
      </w:r>
      <w:r w:rsidRPr="00D1661C">
        <w:rPr>
          <w:rFonts w:ascii="Sylfaen" w:eastAsia="Calibri" w:hAnsi="Sylfaen" w:cs="Calibri"/>
          <w:kern w:val="0"/>
          <w:sz w:val="24"/>
          <w:szCs w:val="24"/>
          <w:shd w:val="clear" w:color="auto" w:fill="FFFFFF"/>
          <w:lang w:val="ka-GE"/>
          <w14:ligatures w14:val="none"/>
        </w:rPr>
        <w:t>.</w:t>
      </w:r>
    </w:p>
    <w:p w14:paraId="1A0D1B83" w14:textId="77777777" w:rsidR="00F7331D" w:rsidRPr="00D1661C" w:rsidRDefault="00F7331D" w:rsidP="00F7331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eastAsia="Calibri" w:hAnsi="Sylfaen" w:cs="Calibri"/>
          <w:kern w:val="0"/>
          <w:szCs w:val="21"/>
          <w:shd w:val="clear" w:color="auto" w:fill="FFFFFF"/>
          <w:lang w:val="ka-GE"/>
          <w14:ligatures w14:val="none"/>
        </w:rPr>
      </w:pPr>
    </w:p>
    <w:p w14:paraId="03E52B90" w14:textId="000B9436" w:rsidR="00070230" w:rsidRPr="00D1661C" w:rsidRDefault="00070230" w:rsidP="0007023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  <w:t xml:space="preserve">Uncovered volume of securities in denominations based on time-limit and type and </w:t>
      </w:r>
    </w:p>
    <w:p w14:paraId="39E301A1" w14:textId="3C4AC749" w:rsidR="00070230" w:rsidRPr="00D1661C" w:rsidRDefault="00070230" w:rsidP="0007023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  <w:t>the balance of debt in the form of loans of budgetary organizations</w:t>
      </w:r>
    </w:p>
    <w:p w14:paraId="0CF79925" w14:textId="14915707" w:rsidR="00070230" w:rsidRPr="00D1661C" w:rsidRDefault="00070230" w:rsidP="0007023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</w:pPr>
      <w:r w:rsidRPr="00D1661C">
        <w:rPr>
          <w:rFonts w:ascii="Sylfaen" w:eastAsia="Calibri" w:hAnsi="Sylfaen" w:cs="Calibri"/>
          <w:b/>
          <w:kern w:val="0"/>
          <w:sz w:val="24"/>
          <w:szCs w:val="24"/>
          <w:shd w:val="clear" w:color="auto" w:fill="FFFFFF"/>
          <w:lang w:val="ka-GE"/>
          <w14:ligatures w14:val="none"/>
        </w:rPr>
        <w:t>As of 31 December 2022</w:t>
      </w:r>
    </w:p>
    <w:p w14:paraId="618EC849" w14:textId="78369FFF" w:rsidR="00F7331D" w:rsidRPr="00D1661C" w:rsidRDefault="0046679F" w:rsidP="00F7331D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eastAsia="Calibri" w:hAnsi="Sylfaen" w:cs="Calibri"/>
          <w:bCs/>
          <w:i/>
          <w:noProof/>
          <w:color w:val="000000"/>
          <w:kern w:val="0"/>
          <w:sz w:val="16"/>
          <w:szCs w:val="16"/>
          <w:lang w:val="ka-GE"/>
          <w14:ligatures w14:val="none"/>
        </w:rPr>
      </w:pPr>
      <w:r w:rsidRPr="00D1661C">
        <w:rPr>
          <w:rFonts w:ascii="Sylfaen" w:eastAsia="Calibri" w:hAnsi="Sylfaen" w:cs="Calibri"/>
          <w:bCs/>
          <w:i/>
          <w:noProof/>
          <w:color w:val="000000"/>
          <w:kern w:val="0"/>
          <w:sz w:val="18"/>
          <w:szCs w:val="18"/>
          <w14:ligatures w14:val="none"/>
        </w:rPr>
        <w:t>Thousand, GEL</w:t>
      </w:r>
    </w:p>
    <w:tbl>
      <w:tblPr>
        <w:tblStyle w:val="TableGrid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2244"/>
      </w:tblGrid>
      <w:tr w:rsidR="00F7331D" w:rsidRPr="00D1661C" w14:paraId="5B7AF763" w14:textId="77777777" w:rsidTr="006A2B23">
        <w:trPr>
          <w:trHeight w:val="230"/>
          <w:jc w:val="center"/>
        </w:trPr>
        <w:tc>
          <w:tcPr>
            <w:tcW w:w="3883" w:type="pct"/>
            <w:vAlign w:val="center"/>
            <w:hideMark/>
          </w:tcPr>
          <w:p w14:paraId="3DA68C36" w14:textId="26D852FD" w:rsidR="00F7331D" w:rsidRPr="00D1661C" w:rsidRDefault="0046679F" w:rsidP="00F7331D">
            <w:pP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17" w:type="pct"/>
            <w:hideMark/>
          </w:tcPr>
          <w:p w14:paraId="395DB87A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7 119 508.6</w:t>
            </w:r>
          </w:p>
        </w:tc>
      </w:tr>
      <w:tr w:rsidR="00F7331D" w:rsidRPr="00D1661C" w14:paraId="54C78EE6" w14:textId="77777777" w:rsidTr="006A2B23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17716D5B" w14:textId="29E74A04" w:rsidR="00F7331D" w:rsidRPr="00D1661C" w:rsidRDefault="0046679F" w:rsidP="00F7331D">
            <w:pP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Treasury securities</w:t>
            </w:r>
          </w:p>
        </w:tc>
        <w:tc>
          <w:tcPr>
            <w:tcW w:w="1117" w:type="pct"/>
            <w:hideMark/>
          </w:tcPr>
          <w:p w14:paraId="757CEE1C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D1661C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6 805 540.</w:t>
            </w:r>
            <w:r w:rsidRPr="00D1661C">
              <w:rPr>
                <w:rFonts w:ascii="Sylfaen" w:eastAsia="Calibri" w:hAnsi="Sylfaen" w:cs="Calibri"/>
                <w:b/>
                <w:sz w:val="20"/>
                <w:szCs w:val="20"/>
              </w:rPr>
              <w:t>0</w:t>
            </w:r>
          </w:p>
        </w:tc>
      </w:tr>
      <w:tr w:rsidR="00F7331D" w:rsidRPr="00D1661C" w14:paraId="4DAA6A6D" w14:textId="77777777" w:rsidTr="006A2B23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14:paraId="06C1E899" w14:textId="4078C28A" w:rsidR="00F7331D" w:rsidRPr="00D1661C" w:rsidRDefault="0046679F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6-month treasury liabilities</w:t>
            </w:r>
          </w:p>
        </w:tc>
        <w:tc>
          <w:tcPr>
            <w:tcW w:w="1117" w:type="pct"/>
          </w:tcPr>
          <w:p w14:paraId="5804DD4B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  <w:lang w:val="ka-GE"/>
              </w:rPr>
              <w:t>120</w:t>
            </w:r>
            <w:r w:rsidRPr="00D1661C">
              <w:rPr>
                <w:rFonts w:ascii="Sylfaen" w:eastAsia="Calibri" w:hAnsi="Sylfaen" w:cs="Calibri"/>
                <w:sz w:val="20"/>
                <w:szCs w:val="20"/>
              </w:rPr>
              <w:t> 000.0</w:t>
            </w:r>
          </w:p>
        </w:tc>
      </w:tr>
      <w:tr w:rsidR="00F7331D" w:rsidRPr="00D1661C" w14:paraId="76D78802" w14:textId="77777777" w:rsidTr="006A2B23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1DC1ABD2" w14:textId="743DE195" w:rsidR="00F7331D" w:rsidRPr="00D1661C" w:rsidRDefault="0046679F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12-month treasury liabilities</w:t>
            </w:r>
          </w:p>
        </w:tc>
        <w:tc>
          <w:tcPr>
            <w:tcW w:w="1117" w:type="pct"/>
            <w:hideMark/>
          </w:tcPr>
          <w:p w14:paraId="29E9510F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  <w:lang w:val="ka-GE"/>
              </w:rPr>
              <w:t>295</w:t>
            </w:r>
            <w:r w:rsidRPr="00D1661C">
              <w:rPr>
                <w:rFonts w:ascii="Sylfaen" w:eastAsia="Calibri" w:hAnsi="Sylfaen" w:cs="Calibri"/>
                <w:sz w:val="20"/>
                <w:szCs w:val="20"/>
              </w:rPr>
              <w:t> 000.0</w:t>
            </w:r>
          </w:p>
        </w:tc>
      </w:tr>
      <w:tr w:rsidR="00F7331D" w:rsidRPr="00D1661C" w14:paraId="7C28BF94" w14:textId="77777777" w:rsidTr="006A2B23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4589B395" w14:textId="34566371" w:rsidR="00F7331D" w:rsidRPr="00D1661C" w:rsidRDefault="0046679F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2-year treasury liabilities</w:t>
            </w:r>
          </w:p>
        </w:tc>
        <w:tc>
          <w:tcPr>
            <w:tcW w:w="1117" w:type="pct"/>
            <w:hideMark/>
          </w:tcPr>
          <w:p w14:paraId="4EBB2289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  <w:lang w:val="ka-GE"/>
              </w:rPr>
              <w:t>1 196 884.0</w:t>
            </w:r>
          </w:p>
        </w:tc>
      </w:tr>
      <w:tr w:rsidR="00F7331D" w:rsidRPr="00D1661C" w14:paraId="35EE4044" w14:textId="77777777" w:rsidTr="006A2B23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424A7A7D" w14:textId="39E77693" w:rsidR="00F7331D" w:rsidRPr="00D1661C" w:rsidRDefault="0046679F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-year treasury liabilities</w:t>
            </w:r>
          </w:p>
        </w:tc>
        <w:tc>
          <w:tcPr>
            <w:tcW w:w="1117" w:type="pct"/>
            <w:hideMark/>
          </w:tcPr>
          <w:p w14:paraId="3E49F2A4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  <w:lang w:val="ka-GE"/>
              </w:rPr>
              <w:t>3 598 088.0</w:t>
            </w:r>
          </w:p>
        </w:tc>
      </w:tr>
      <w:tr w:rsidR="00F7331D" w:rsidRPr="00D1661C" w14:paraId="2E34BA09" w14:textId="77777777" w:rsidTr="006A2B23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10243D82" w14:textId="7FBCB07A" w:rsidR="00F7331D" w:rsidRPr="00D1661C" w:rsidRDefault="0046679F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10-year treasury liabilities</w:t>
            </w:r>
          </w:p>
        </w:tc>
        <w:tc>
          <w:tcPr>
            <w:tcW w:w="1117" w:type="pct"/>
            <w:hideMark/>
          </w:tcPr>
          <w:p w14:paraId="59585EAB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  <w:lang w:val="ka-GE"/>
              </w:rPr>
              <w:t>1 595 568.0</w:t>
            </w:r>
          </w:p>
        </w:tc>
      </w:tr>
      <w:tr w:rsidR="00F7331D" w:rsidRPr="00D1661C" w14:paraId="35AB91F8" w14:textId="77777777" w:rsidTr="006A2B23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37D1C509" w14:textId="4A46630F" w:rsidR="00F7331D" w:rsidRPr="00D1661C" w:rsidRDefault="000F5F56" w:rsidP="00F7331D">
            <w:pP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Other securities</w:t>
            </w:r>
          </w:p>
        </w:tc>
        <w:tc>
          <w:tcPr>
            <w:tcW w:w="1117" w:type="pct"/>
          </w:tcPr>
          <w:p w14:paraId="0580B4FA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272 846,0</w:t>
            </w:r>
          </w:p>
        </w:tc>
      </w:tr>
      <w:tr w:rsidR="00F7331D" w:rsidRPr="00D1661C" w14:paraId="63F1BD05" w14:textId="77777777" w:rsidTr="006A2B23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120BA4F3" w14:textId="3EDBD267" w:rsidR="00F7331D" w:rsidRPr="00D1661C" w:rsidRDefault="000F5F56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Bond</w:t>
            </w: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s</w:t>
            </w:r>
            <w:r w:rsidRPr="00D1661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for </w:t>
            </w:r>
            <w:r w:rsidRPr="00D1661C">
              <w:rPr>
                <w:rFonts w:ascii="Sylfaen" w:eastAsia="Times New Roman" w:hAnsi="Sylfaen" w:cs="Sylfaen"/>
                <w:sz w:val="20"/>
                <w:szCs w:val="20"/>
              </w:rPr>
              <w:t>the Georgian National Bank</w:t>
            </w:r>
          </w:p>
        </w:tc>
        <w:tc>
          <w:tcPr>
            <w:tcW w:w="1117" w:type="pct"/>
            <w:hideMark/>
          </w:tcPr>
          <w:p w14:paraId="63C3A730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</w:rPr>
              <w:t>120 846,0</w:t>
            </w:r>
          </w:p>
        </w:tc>
      </w:tr>
      <w:tr w:rsidR="00F7331D" w:rsidRPr="00D1661C" w14:paraId="59A6753C" w14:textId="77777777" w:rsidTr="006A2B23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4BED47D3" w14:textId="06F4D2C1" w:rsidR="00F7331D" w:rsidRPr="00D1661C" w:rsidRDefault="000F5F56" w:rsidP="00F7331D">
            <w:pPr>
              <w:ind w:left="341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D1661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Bonds for open market operations</w:t>
            </w:r>
          </w:p>
        </w:tc>
        <w:tc>
          <w:tcPr>
            <w:tcW w:w="1117" w:type="pct"/>
            <w:hideMark/>
          </w:tcPr>
          <w:p w14:paraId="68E94FC7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sz w:val="20"/>
                <w:szCs w:val="20"/>
              </w:rPr>
            </w:pPr>
            <w:r w:rsidRPr="00D1661C">
              <w:rPr>
                <w:rFonts w:ascii="Sylfaen" w:eastAsia="Calibri" w:hAnsi="Sylfaen" w:cs="Calibri"/>
                <w:sz w:val="20"/>
                <w:szCs w:val="20"/>
              </w:rPr>
              <w:t>152 000,0</w:t>
            </w:r>
          </w:p>
        </w:tc>
      </w:tr>
      <w:tr w:rsidR="00F7331D" w:rsidRPr="00D1661C" w14:paraId="5EB61314" w14:textId="77777777" w:rsidTr="006A2B23">
        <w:trPr>
          <w:trHeight w:val="288"/>
          <w:jc w:val="center"/>
        </w:trPr>
        <w:tc>
          <w:tcPr>
            <w:tcW w:w="3883" w:type="pct"/>
            <w:vAlign w:val="center"/>
          </w:tcPr>
          <w:p w14:paraId="61EC66DF" w14:textId="0540DE40" w:rsidR="00F7331D" w:rsidRPr="00D1661C" w:rsidRDefault="000F5F56" w:rsidP="00F7331D">
            <w:pP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Debt balance in the form of loans of budgetary organizations</w:t>
            </w:r>
          </w:p>
        </w:tc>
        <w:tc>
          <w:tcPr>
            <w:tcW w:w="1117" w:type="pct"/>
          </w:tcPr>
          <w:p w14:paraId="45335E51" w14:textId="77777777" w:rsidR="00F7331D" w:rsidRPr="00D1661C" w:rsidRDefault="00F7331D" w:rsidP="00F7331D">
            <w:pPr>
              <w:jc w:val="right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D1661C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41 122.6</w:t>
            </w:r>
          </w:p>
        </w:tc>
      </w:tr>
    </w:tbl>
    <w:p w14:paraId="0A06D550" w14:textId="77777777" w:rsidR="00F7331D" w:rsidRPr="00D1661C" w:rsidRDefault="00F7331D" w:rsidP="00F7331D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eastAsia="Calibri" w:hAnsi="Sylfaen" w:cs="Calibri"/>
          <w:b/>
          <w:i/>
          <w:kern w:val="0"/>
          <w:szCs w:val="18"/>
          <w:shd w:val="clear" w:color="auto" w:fill="FFFFFF"/>
          <w14:ligatures w14:val="none"/>
        </w:rPr>
      </w:pPr>
    </w:p>
    <w:p w14:paraId="433218E2" w14:textId="79CC110B" w:rsidR="00F7331D" w:rsidRPr="00D1661C" w:rsidRDefault="00824E43" w:rsidP="00F7331D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eastAsia="Calibri" w:hAnsi="Sylfaen" w:cs="Calibri"/>
          <w:kern w:val="0"/>
          <w:sz w:val="24"/>
          <w:szCs w:val="24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As of December 31, 2022, the amount received in the budget as a result of the issuance of treasury b</w:t>
      </w:r>
      <w:r w:rsidR="00C334AF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ills 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and treasury bonds amounted to 2,831,642.3 thousand GEL, and </w:t>
      </w:r>
      <w:r w:rsidR="00C334AF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the 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repayment of the principal </w:t>
      </w:r>
      <w:r w:rsidR="00C334AF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equaled 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1,485,302.6 thousand GEL. Accordingly, the increase in </w:t>
      </w:r>
      <w:r w:rsidR="00C334AF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obligations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 was </w:t>
      </w:r>
      <w:r w:rsidR="00C334AF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set at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 1,346,339.8 thousand GEL.</w:t>
      </w:r>
    </w:p>
    <w:p w14:paraId="73F16021" w14:textId="13E87F9A" w:rsidR="00F7331D" w:rsidRPr="00D1661C" w:rsidRDefault="00C334AF" w:rsidP="00F7331D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eastAsia="Calibri" w:hAnsi="Sylfaen" w:cs="Calibri"/>
          <w:kern w:val="0"/>
          <w:sz w:val="24"/>
          <w:szCs w:val="24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S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>tate budget expenditure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s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 incurred during 2022 for the servicing and repayment of domestic obligations amounted to 550,396.9 thousand GEL. </w:t>
      </w:r>
      <w:r w:rsidR="003124A2"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Among them: </w:t>
      </w:r>
    </w:p>
    <w:p w14:paraId="0E01BD84" w14:textId="50EDA150" w:rsidR="00F7331D" w:rsidRPr="00D1661C" w:rsidRDefault="003124A2" w:rsidP="003124A2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“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>Bonds for the open market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”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 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 xml:space="preserve">- 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>repayment of principal amount - 40,000.0 thousand GEL;</w:t>
      </w:r>
    </w:p>
    <w:p w14:paraId="73D0173D" w14:textId="3909E5DB" w:rsidR="00F7331D" w:rsidRPr="00D1661C" w:rsidRDefault="003124A2" w:rsidP="00F7331D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“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>Bonds for the open market</w:t>
      </w:r>
      <w:r w:rsidRPr="00D1661C">
        <w:rPr>
          <w:rFonts w:ascii="Sylfaen" w:eastAsia="Calibri" w:hAnsi="Sylfaen" w:cs="Calibri"/>
          <w:kern w:val="0"/>
          <w:sz w:val="24"/>
          <w:szCs w:val="24"/>
          <w14:ligatures w14:val="none"/>
        </w:rPr>
        <w:t>”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 - service </w:t>
      </w:r>
      <w:r w:rsidR="00F7331D"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- 13 997.5 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>thousand GEL;</w:t>
      </w:r>
    </w:p>
    <w:p w14:paraId="11187866" w14:textId="1D12580A" w:rsidR="00F7331D" w:rsidRPr="00D1661C" w:rsidRDefault="003124A2" w:rsidP="003124A2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"Bond for NBG" - service - 11,915.4 thousand GEL; </w:t>
      </w:r>
    </w:p>
    <w:p w14:paraId="72CF90A2" w14:textId="158130AB" w:rsidR="00F7331D" w:rsidRPr="00D1661C" w:rsidRDefault="003124A2" w:rsidP="003124A2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  <w:r w:rsidRPr="00D1661C">
        <w:rPr>
          <w:rFonts w:ascii="Sylfaen" w:eastAsia="Calibri" w:hAnsi="Sylfaen" w:cs="Sylfaen"/>
          <w:kern w:val="0"/>
          <w:sz w:val="24"/>
          <w:szCs w:val="24"/>
          <w:lang w:val="ka-GE"/>
          <w14:ligatures w14:val="none"/>
        </w:rPr>
        <w:t xml:space="preserve">Servicing of treasury </w:t>
      </w:r>
      <w:r w:rsidRPr="00D1661C">
        <w:rPr>
          <w:rFonts w:ascii="Sylfaen" w:eastAsia="Calibri" w:hAnsi="Sylfaen" w:cs="Sylfaen"/>
          <w:kern w:val="0"/>
          <w:sz w:val="24"/>
          <w:szCs w:val="24"/>
          <w14:ligatures w14:val="none"/>
        </w:rPr>
        <w:t>bill</w:t>
      </w:r>
      <w:r w:rsidRPr="00D1661C">
        <w:rPr>
          <w:rFonts w:ascii="Sylfaen" w:eastAsia="Calibri" w:hAnsi="Sylfaen" w:cs="Sylfaen"/>
          <w:kern w:val="0"/>
          <w:sz w:val="24"/>
          <w:szCs w:val="24"/>
          <w:lang w:val="ka-GE"/>
          <w14:ligatures w14:val="none"/>
        </w:rPr>
        <w:t>s - 26,775.7 thousand GEL;</w:t>
      </w:r>
      <w:r w:rsidRPr="00D1661C">
        <w:rPr>
          <w:rFonts w:ascii="Sylfaen" w:eastAsia="Calibri" w:hAnsi="Sylfaen" w:cs="Sylfaen"/>
          <w:kern w:val="0"/>
          <w:sz w:val="24"/>
          <w:szCs w:val="24"/>
          <w14:ligatures w14:val="none"/>
        </w:rPr>
        <w:t xml:space="preserve"> </w:t>
      </w:r>
    </w:p>
    <w:p w14:paraId="1843572D" w14:textId="1B12487B" w:rsidR="003124A2" w:rsidRPr="00D1661C" w:rsidRDefault="003124A2" w:rsidP="003124A2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  <w:r w:rsidRPr="00D1661C">
        <w:rPr>
          <w:rFonts w:ascii="Sylfaen" w:eastAsia="Calibri" w:hAnsi="Sylfaen" w:cs="Sylfaen"/>
          <w:kern w:val="0"/>
          <w:sz w:val="24"/>
          <w:szCs w:val="24"/>
          <w:lang w:val="ka-GE"/>
          <w14:ligatures w14:val="none"/>
        </w:rPr>
        <w:t xml:space="preserve">Servicing of treasury </w:t>
      </w:r>
      <w:r w:rsidRPr="00D1661C">
        <w:rPr>
          <w:rFonts w:ascii="Sylfaen" w:eastAsia="Calibri" w:hAnsi="Sylfaen" w:cs="Sylfaen"/>
          <w:kern w:val="0"/>
          <w:sz w:val="24"/>
          <w:szCs w:val="24"/>
          <w14:ligatures w14:val="none"/>
        </w:rPr>
        <w:t>bonds</w:t>
      </w:r>
      <w:r w:rsidRPr="00D1661C">
        <w:rPr>
          <w:rFonts w:ascii="Sylfaen" w:eastAsia="Calibri" w:hAnsi="Sylfaen" w:cs="Sylfaen"/>
          <w:kern w:val="0"/>
          <w:sz w:val="24"/>
          <w:szCs w:val="24"/>
          <w:lang w:val="ka-GE"/>
          <w14:ligatures w14:val="none"/>
        </w:rPr>
        <w:t xml:space="preserve"> - </w:t>
      </w:r>
      <w:r w:rsidRPr="00D1661C"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  <w:t xml:space="preserve">457 708.3 </w:t>
      </w:r>
      <w:r w:rsidRPr="00D1661C">
        <w:rPr>
          <w:rFonts w:ascii="Sylfaen" w:eastAsia="Calibri" w:hAnsi="Sylfaen" w:cs="Sylfaen"/>
          <w:kern w:val="0"/>
          <w:sz w:val="24"/>
          <w:szCs w:val="24"/>
          <w:lang w:val="ka-GE"/>
          <w14:ligatures w14:val="none"/>
        </w:rPr>
        <w:t>thousand GEL;</w:t>
      </w:r>
      <w:r w:rsidRPr="00D1661C">
        <w:rPr>
          <w:rFonts w:ascii="Sylfaen" w:eastAsia="Calibri" w:hAnsi="Sylfaen" w:cs="Sylfaen"/>
          <w:kern w:val="0"/>
          <w:sz w:val="24"/>
          <w:szCs w:val="24"/>
          <w14:ligatures w14:val="none"/>
        </w:rPr>
        <w:t xml:space="preserve"> </w:t>
      </w:r>
    </w:p>
    <w:p w14:paraId="4EA3117D" w14:textId="77777777" w:rsidR="00F7331D" w:rsidRPr="00D1661C" w:rsidRDefault="00F7331D" w:rsidP="00F7331D">
      <w:pPr>
        <w:spacing w:after="200" w:line="240" w:lineRule="auto"/>
        <w:jc w:val="center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</w:p>
    <w:p w14:paraId="60E2D774" w14:textId="77777777" w:rsidR="00F7331D" w:rsidRPr="00D1661C" w:rsidRDefault="00F7331D" w:rsidP="00F7331D">
      <w:pPr>
        <w:spacing w:after="200" w:line="240" w:lineRule="auto"/>
        <w:jc w:val="center"/>
        <w:rPr>
          <w:rFonts w:ascii="Sylfaen" w:eastAsia="Calibri" w:hAnsi="Sylfaen" w:cs="Calibri"/>
          <w:kern w:val="0"/>
          <w:sz w:val="24"/>
          <w:szCs w:val="24"/>
          <w:lang w:val="ka-GE"/>
          <w14:ligatures w14:val="none"/>
        </w:rPr>
      </w:pPr>
    </w:p>
    <w:p w14:paraId="79705E52" w14:textId="77777777" w:rsidR="00F7331D" w:rsidRPr="00D1661C" w:rsidRDefault="00F7331D" w:rsidP="00F7331D">
      <w:pPr>
        <w:spacing w:after="200" w:line="240" w:lineRule="auto"/>
        <w:jc w:val="center"/>
        <w:rPr>
          <w:rFonts w:ascii="Sylfaen" w:eastAsia="Calibri" w:hAnsi="Sylfaen" w:cs="Calibri"/>
          <w:kern w:val="0"/>
          <w:sz w:val="10"/>
          <w:szCs w:val="10"/>
          <w:lang w:val="ka-GE"/>
          <w14:ligatures w14:val="none"/>
        </w:rPr>
      </w:pPr>
    </w:p>
    <w:p w14:paraId="2279B03C" w14:textId="77777777" w:rsidR="00F7331D" w:rsidRPr="00D1661C" w:rsidRDefault="00F7331D" w:rsidP="00F7331D">
      <w:pPr>
        <w:spacing w:after="200" w:line="240" w:lineRule="auto"/>
        <w:jc w:val="center"/>
        <w:rPr>
          <w:rFonts w:ascii="Sylfaen" w:eastAsia="Calibri" w:hAnsi="Sylfaen" w:cs="Calibri"/>
          <w:kern w:val="0"/>
          <w:sz w:val="10"/>
          <w:szCs w:val="10"/>
          <w:lang w:val="ka-GE"/>
          <w14:ligatures w14:val="none"/>
        </w:rPr>
      </w:pPr>
    </w:p>
    <w:p w14:paraId="316ABA60" w14:textId="46C00189" w:rsidR="00F7331D" w:rsidRPr="00D1661C" w:rsidRDefault="007B67E1" w:rsidP="00F7331D">
      <w:pPr>
        <w:spacing w:after="200" w:line="240" w:lineRule="auto"/>
        <w:jc w:val="center"/>
        <w:rPr>
          <w:rFonts w:ascii="Sylfaen" w:eastAsia="Calibri" w:hAnsi="Sylfaen" w:cs="Calibri"/>
          <w:kern w:val="0"/>
          <w:lang w:val="ka-GE"/>
          <w14:ligatures w14:val="none"/>
        </w:rPr>
      </w:pPr>
      <w:r w:rsidRPr="00D1661C">
        <w:rPr>
          <w:rFonts w:ascii="Sylfaen" w:eastAsia="Calibri" w:hAnsi="Sylfaen" w:cs="Sylfaen"/>
          <w:b/>
          <w:kern w:val="0"/>
          <w:lang w:val="ka-GE"/>
          <w14:ligatures w14:val="none"/>
        </w:rPr>
        <w:t>Government debt balance as of 31 December 2022</w:t>
      </w:r>
    </w:p>
    <w:p w14:paraId="667CC0C6" w14:textId="06BF7B4B" w:rsidR="00F7331D" w:rsidRPr="00D1661C" w:rsidRDefault="000F5F56" w:rsidP="00F7331D">
      <w:pPr>
        <w:spacing w:after="0" w:line="240" w:lineRule="auto"/>
        <w:ind w:left="7200" w:right="555" w:firstLine="720"/>
        <w:jc w:val="right"/>
        <w:rPr>
          <w:rFonts w:ascii="Sylfaen" w:eastAsia="Calibri" w:hAnsi="Sylfaen" w:cs="Calibri"/>
          <w:i/>
          <w:noProof/>
          <w:color w:val="000000"/>
          <w:kern w:val="0"/>
          <w:sz w:val="16"/>
          <w:szCs w:val="16"/>
          <w:lang w:val="ka-GE"/>
          <w14:ligatures w14:val="none"/>
        </w:rPr>
      </w:pPr>
      <w:r w:rsidRPr="00D1661C">
        <w:rPr>
          <w:rFonts w:ascii="Sylfaen" w:eastAsia="Calibri" w:hAnsi="Sylfaen" w:cs="Sylfaen"/>
          <w:i/>
          <w:noProof/>
          <w:color w:val="000000"/>
          <w:kern w:val="0"/>
          <w:sz w:val="16"/>
          <w:szCs w:val="16"/>
          <w14:ligatures w14:val="none"/>
        </w:rPr>
        <w:t xml:space="preserve">Thousand GEL 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7933"/>
        <w:gridCol w:w="2027"/>
      </w:tblGrid>
      <w:tr w:rsidR="00F7331D" w:rsidRPr="00D1661C" w14:paraId="677EF775" w14:textId="77777777" w:rsidTr="006A2B23">
        <w:trPr>
          <w:trHeight w:val="840"/>
          <w:tblHeader/>
        </w:trPr>
        <w:tc>
          <w:tcPr>
            <w:tcW w:w="7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6C35" w14:textId="42BC9FDF" w:rsidR="00F7331D" w:rsidRPr="00D1661C" w:rsidRDefault="000F5F56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Creditor 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005E5" w14:textId="7AE9990D" w:rsidR="00F7331D" w:rsidRPr="00D1661C" w:rsidRDefault="00F7331D" w:rsidP="00F73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0F5F56"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Balance, as of </w:t>
            </w: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31.12.2022</w:t>
            </w: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</w:t>
            </w:r>
          </w:p>
        </w:tc>
      </w:tr>
      <w:tr w:rsidR="00F7331D" w:rsidRPr="00D1661C" w14:paraId="61F74B63" w14:textId="77777777" w:rsidTr="006A2B23">
        <w:trPr>
          <w:trHeight w:val="57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CE83878" w14:textId="672D1223" w:rsidR="00F7331D" w:rsidRPr="00D1661C" w:rsidRDefault="00351986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Balance of the external debt of the government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3CB1BD3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21 391 992.3</w:t>
            </w:r>
          </w:p>
        </w:tc>
      </w:tr>
      <w:tr w:rsidR="00F7331D" w:rsidRPr="00D1661C" w14:paraId="70365B9A" w14:textId="77777777" w:rsidTr="006A2B23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6713F7B8" w14:textId="6A7D6AC3" w:rsidR="00F7331D" w:rsidRPr="00D1661C" w:rsidRDefault="00351986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Multilateral Creditors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0413371F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15 712 867.5</w:t>
            </w:r>
          </w:p>
        </w:tc>
      </w:tr>
      <w:tr w:rsidR="00351986" w:rsidRPr="00D1661C" w14:paraId="33BF4B87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651DC0" w14:textId="660B4AE7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World Bank (WB)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343DC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5 414 857.5</w:t>
            </w:r>
          </w:p>
        </w:tc>
      </w:tr>
      <w:tr w:rsidR="00351986" w:rsidRPr="00D1661C" w14:paraId="56122762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C15694" w14:textId="32E469E4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International Fund for Agricultural Development (IFAD)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23521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99 972.6</w:t>
            </w:r>
          </w:p>
        </w:tc>
      </w:tr>
      <w:tr w:rsidR="00351986" w:rsidRPr="00D1661C" w14:paraId="79EDFDDC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7DB651" w14:textId="5FBA8450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International Monetary Fund (IMF)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C8017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528 603.2</w:t>
            </w:r>
          </w:p>
        </w:tc>
      </w:tr>
      <w:tr w:rsidR="00351986" w:rsidRPr="00D1661C" w14:paraId="470C6626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30DEE1" w14:textId="007F1C50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European Bank for Reconstruction and Development (EBRD)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E31E3F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640 936.5</w:t>
            </w:r>
          </w:p>
        </w:tc>
      </w:tr>
      <w:tr w:rsidR="00351986" w:rsidRPr="00D1661C" w14:paraId="5054DFCE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7A508" w14:textId="3B25BDA7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Asian Development Bank (ADB)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430CF5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5 599 372.0</w:t>
            </w:r>
          </w:p>
        </w:tc>
      </w:tr>
      <w:tr w:rsidR="00351986" w:rsidRPr="00D1661C" w14:paraId="59081889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AC2A4" w14:textId="67F25A7F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European Investment Bank (EIB)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AA017F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2 484 897.3</w:t>
            </w:r>
          </w:p>
        </w:tc>
      </w:tr>
      <w:tr w:rsidR="00351986" w:rsidRPr="00D1661C" w14:paraId="08AB0E78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A230D7" w14:textId="6617B3BE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European Union (EU)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385F41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383 625.2</w:t>
            </w:r>
          </w:p>
        </w:tc>
      </w:tr>
      <w:tr w:rsidR="00351986" w:rsidRPr="00D1661C" w14:paraId="5C193F6C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56BA82" w14:textId="52302D29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Asian Infrastructure Investment Bank (AIIB)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3DC773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529 868.7</w:t>
            </w:r>
          </w:p>
        </w:tc>
      </w:tr>
      <w:tr w:rsidR="00351986" w:rsidRPr="00D1661C" w14:paraId="4B52C4DC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2F85C" w14:textId="70174A39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Council of Europe Development Bank (CEB)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ED15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25 071.9</w:t>
            </w:r>
          </w:p>
        </w:tc>
      </w:tr>
      <w:tr w:rsidR="00351986" w:rsidRPr="00D1661C" w14:paraId="65FB5340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57113A" w14:textId="0CEE8977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Nordic Environment Finance Corporation (NEFCO)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3CA7BA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5 662.6</w:t>
            </w:r>
          </w:p>
        </w:tc>
      </w:tr>
      <w:tr w:rsidR="00F7331D" w:rsidRPr="00D1661C" w14:paraId="75CF7B37" w14:textId="77777777" w:rsidTr="006A2B23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75B59F6E" w14:textId="5072377A" w:rsidR="00F7331D" w:rsidRPr="00D1661C" w:rsidRDefault="00351986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Bilateral Creditors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3B22F5A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4 324 814.0</w:t>
            </w:r>
          </w:p>
        </w:tc>
      </w:tr>
      <w:tr w:rsidR="00351986" w:rsidRPr="00D1661C" w14:paraId="1FF802DF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6DFEC" w14:textId="3CA179C9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Austria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B92CCA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38 443.0</w:t>
            </w:r>
          </w:p>
        </w:tc>
      </w:tr>
      <w:tr w:rsidR="00351986" w:rsidRPr="00D1661C" w14:paraId="376379D1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2F56A" w14:textId="71D98C8D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Azerbaijan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DD932A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8 754.6</w:t>
            </w:r>
          </w:p>
        </w:tc>
      </w:tr>
      <w:tr w:rsidR="00351986" w:rsidRPr="00D1661C" w14:paraId="30710EB1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50C4E" w14:textId="7752A148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Turkmenistan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F6142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570.3</w:t>
            </w:r>
          </w:p>
        </w:tc>
      </w:tr>
      <w:tr w:rsidR="00351986" w:rsidRPr="00D1661C" w14:paraId="5EE23147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D57F1" w14:textId="48C09A08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Turkey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33A8D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17 046.8</w:t>
            </w:r>
          </w:p>
        </w:tc>
      </w:tr>
      <w:tr w:rsidR="00351986" w:rsidRPr="00D1661C" w14:paraId="4E9DC13D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894876" w14:textId="3ABD6528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Iran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AD9E45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6 385.7</w:t>
            </w:r>
          </w:p>
        </w:tc>
      </w:tr>
      <w:tr w:rsidR="00351986" w:rsidRPr="00D1661C" w14:paraId="05CB70B3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B2AE3" w14:textId="088B473C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Russia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90541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68 728.0</w:t>
            </w:r>
          </w:p>
        </w:tc>
      </w:tr>
      <w:tr w:rsidR="00351986" w:rsidRPr="00D1661C" w14:paraId="4F275C2B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AF2D96" w14:textId="29F09307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Armenia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74B3ED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7 722.6</w:t>
            </w:r>
          </w:p>
        </w:tc>
      </w:tr>
      <w:tr w:rsidR="00351986" w:rsidRPr="00D1661C" w14:paraId="18BD0C91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07CBFE" w14:textId="35EA6375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Kazakhstan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29981B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9 522.9</w:t>
            </w:r>
          </w:p>
        </w:tc>
      </w:tr>
      <w:tr w:rsidR="00351986" w:rsidRPr="00D1661C" w14:paraId="58E3119C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97D877" w14:textId="3298101E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Germany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581324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1 692 480.8</w:t>
            </w:r>
          </w:p>
        </w:tc>
      </w:tr>
      <w:tr w:rsidR="00351986" w:rsidRPr="00D1661C" w14:paraId="4F24AA3D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77D18" w14:textId="719AE23E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Japan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F6B903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424 305.3</w:t>
            </w:r>
          </w:p>
        </w:tc>
      </w:tr>
      <w:tr w:rsidR="00351986" w:rsidRPr="00D1661C" w14:paraId="0336AC3B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A3D3A1" w14:textId="68741F2E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Kuwait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FAAFCA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33 256.4</w:t>
            </w:r>
          </w:p>
        </w:tc>
      </w:tr>
      <w:tr w:rsidR="00351986" w:rsidRPr="00D1661C" w14:paraId="2A9D457F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A10B9" w14:textId="42544492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Kingdom of the Netherlands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E07960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192.1</w:t>
            </w:r>
          </w:p>
        </w:tc>
      </w:tr>
      <w:tr w:rsidR="00351986" w:rsidRPr="00D1661C" w14:paraId="6E9DE1C7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FE902" w14:textId="24C85F48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United States of America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1AE3B1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29 346.7</w:t>
            </w:r>
          </w:p>
        </w:tc>
      </w:tr>
      <w:tr w:rsidR="00351986" w:rsidRPr="00D1661C" w14:paraId="26570C19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B7F63" w14:textId="24C17E33" w:rsidR="00351986" w:rsidRPr="00D1661C" w:rsidRDefault="00351986" w:rsidP="003519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hAnsi="Sylfaen"/>
                <w:sz w:val="20"/>
                <w:szCs w:val="20"/>
              </w:rPr>
              <w:t>France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82C89E" w14:textId="77777777" w:rsidR="00351986" w:rsidRPr="00D1661C" w:rsidRDefault="00351986" w:rsidP="0035198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1 988 058.7</w:t>
            </w:r>
          </w:p>
        </w:tc>
      </w:tr>
      <w:tr w:rsidR="00F7331D" w:rsidRPr="00D1661C" w14:paraId="7340E0B1" w14:textId="77777777" w:rsidTr="006A2B23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7477E57C" w14:textId="4E276025" w:rsidR="00F7331D" w:rsidRPr="00D1661C" w:rsidRDefault="00F36681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Other foreign liabilities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36ABAE0C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1 351 000.0</w:t>
            </w:r>
          </w:p>
        </w:tc>
      </w:tr>
      <w:tr w:rsidR="00F7331D" w:rsidRPr="00D1661C" w14:paraId="6A6AEC80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DA71" w14:textId="2DCB6A3D" w:rsidR="00F7331D" w:rsidRPr="00D1661C" w:rsidRDefault="00755B87" w:rsidP="00F733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Eurobonds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0E981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1 351 000.0</w:t>
            </w:r>
          </w:p>
        </w:tc>
      </w:tr>
      <w:tr w:rsidR="00F7331D" w:rsidRPr="00D1661C" w14:paraId="10AFB13C" w14:textId="77777777" w:rsidTr="006A2B23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22FFE742" w14:textId="0EB3AC6B" w:rsidR="00F7331D" w:rsidRPr="00D1661C" w:rsidRDefault="00755B87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Style w:val="Emphasis"/>
                <w:rFonts w:ascii="Sylfaen" w:hAnsi="Sylfaen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State</w:t>
            </w:r>
            <w:r w:rsidRPr="00D1661C">
              <w:rPr>
                <w:rFonts w:ascii="Sylfaen" w:hAnsi="Sylfaen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D1661C">
              <w:rPr>
                <w:rStyle w:val="Emphasis"/>
                <w:rFonts w:ascii="Sylfaen" w:hAnsi="Sylfaen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guaranteed</w:t>
            </w:r>
            <w:r w:rsidRPr="00D1661C">
              <w:rPr>
                <w:rFonts w:ascii="Sylfaen" w:hAnsi="Sylfaen" w:cs="Arial"/>
                <w:color w:val="000000" w:themeColor="text1"/>
                <w:sz w:val="20"/>
                <w:szCs w:val="20"/>
                <w:shd w:val="clear" w:color="auto" w:fill="FFFFFF"/>
              </w:rPr>
              <w:t> loans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E579303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3 310.9</w:t>
            </w:r>
          </w:p>
        </w:tc>
      </w:tr>
      <w:tr w:rsidR="00F7331D" w:rsidRPr="00D1661C" w14:paraId="6C9C67F2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F07CA" w14:textId="58C8EAFE" w:rsidR="00F7331D" w:rsidRPr="00D1661C" w:rsidRDefault="00755B87" w:rsidP="00F733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:lang w:val="ka-GE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Germany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4AA4AE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3 310.9</w:t>
            </w:r>
          </w:p>
        </w:tc>
      </w:tr>
      <w:tr w:rsidR="00F7331D" w:rsidRPr="00D1661C" w14:paraId="62EAD4CC" w14:textId="77777777" w:rsidTr="006A2B23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74CACB8" w14:textId="5EDE47FB" w:rsidR="00F7331D" w:rsidRPr="00D1661C" w:rsidRDefault="00755B87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Balance of the government's domestic debt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638AE7C8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7 146 262.4</w:t>
            </w:r>
          </w:p>
        </w:tc>
      </w:tr>
      <w:tr w:rsidR="00F7331D" w:rsidRPr="00D1661C" w14:paraId="4E309624" w14:textId="77777777" w:rsidTr="006A2B23">
        <w:trPr>
          <w:trHeight w:val="51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27A96" w14:textId="70E186DF" w:rsidR="00F7331D" w:rsidRPr="00D1661C" w:rsidRDefault="007B67E1" w:rsidP="00F733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One-year annually renewable government bond intended for the National Bank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55BC96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120 846.0</w:t>
            </w:r>
          </w:p>
        </w:tc>
      </w:tr>
      <w:tr w:rsidR="00F7331D" w:rsidRPr="00D1661C" w14:paraId="3BE729AF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CC024" w14:textId="45B92BDE" w:rsidR="00F7331D" w:rsidRPr="00D1661C" w:rsidRDefault="007B67E1" w:rsidP="007B67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Government bonds with various time-limits for open market operations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63EF7B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152 000.0</w:t>
            </w:r>
          </w:p>
        </w:tc>
      </w:tr>
      <w:tr w:rsidR="00F7331D" w:rsidRPr="00D1661C" w14:paraId="75FAAB8A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6FCE9" w14:textId="36C22B3C" w:rsidR="00F7331D" w:rsidRPr="00D1661C" w:rsidRDefault="007B67E1" w:rsidP="007B67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Treasury bills of the Ministry of Finance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91446C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382 501.0</w:t>
            </w:r>
          </w:p>
        </w:tc>
      </w:tr>
      <w:tr w:rsidR="00F7331D" w:rsidRPr="00D1661C" w14:paraId="3EB17586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3B1D7" w14:textId="1D2B4FFB" w:rsidR="00F7331D" w:rsidRPr="00D1661C" w:rsidRDefault="007B67E1" w:rsidP="007B67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Treasury bonds of the Ministry of Finance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1A3D61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6 449 792.8</w:t>
            </w:r>
          </w:p>
        </w:tc>
      </w:tr>
      <w:tr w:rsidR="00F7331D" w:rsidRPr="00D1661C" w14:paraId="48D64AF5" w14:textId="77777777" w:rsidTr="006A2B23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73DE" w14:textId="55EC890E" w:rsidR="00F7331D" w:rsidRPr="00D1661C" w:rsidRDefault="00D1661C" w:rsidP="00F733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color w:val="000000"/>
                <w:kern w:val="0"/>
                <w:sz w:val="20"/>
                <w:szCs w:val="20"/>
                <w14:ligatures w14:val="none"/>
              </w:rPr>
              <w:t>Debt in the form of a loan of budgetary organizations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7CB7C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color w:val="000000"/>
                <w:kern w:val="0"/>
                <w:sz w:val="20"/>
                <w:szCs w:val="20"/>
                <w14:ligatures w14:val="none"/>
              </w:rPr>
              <w:t>41 122.6</w:t>
            </w:r>
          </w:p>
        </w:tc>
      </w:tr>
      <w:tr w:rsidR="00F7331D" w:rsidRPr="00D1661C" w14:paraId="0BF807B6" w14:textId="77777777" w:rsidTr="006A2B23">
        <w:trPr>
          <w:trHeight w:val="570"/>
        </w:trPr>
        <w:tc>
          <w:tcPr>
            <w:tcW w:w="79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60067CF5" w14:textId="08DC19A9" w:rsidR="00F7331D" w:rsidRPr="00D1661C" w:rsidRDefault="00D1661C" w:rsidP="00F73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government debt balance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3F4A8AE" w14:textId="77777777" w:rsidR="00F7331D" w:rsidRPr="00D1661C" w:rsidRDefault="00F7331D" w:rsidP="00F73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61C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28 538 254.7</w:t>
            </w:r>
          </w:p>
        </w:tc>
      </w:tr>
    </w:tbl>
    <w:p w14:paraId="454C8531" w14:textId="77777777" w:rsidR="00F7331D" w:rsidRPr="00D1661C" w:rsidRDefault="00F7331D" w:rsidP="00F7331D">
      <w:pPr>
        <w:spacing w:after="0" w:line="240" w:lineRule="auto"/>
        <w:ind w:left="720"/>
        <w:rPr>
          <w:rFonts w:ascii="Sylfaen" w:eastAsia="Calibri" w:hAnsi="Sylfaen" w:cs="Calibri"/>
          <w:b/>
          <w:bCs/>
          <w:i/>
          <w:color w:val="7F7F7F"/>
          <w:kern w:val="0"/>
          <w:sz w:val="18"/>
          <w:szCs w:val="18"/>
          <w14:ligatures w14:val="none"/>
        </w:rPr>
      </w:pPr>
    </w:p>
    <w:p w14:paraId="239E8BDC" w14:textId="50D9344B" w:rsidR="00F7331D" w:rsidRPr="00D1661C" w:rsidRDefault="00D1661C" w:rsidP="00F7331D">
      <w:pPr>
        <w:spacing w:after="0" w:line="240" w:lineRule="auto"/>
        <w:ind w:left="426"/>
        <w:rPr>
          <w:rFonts w:ascii="Sylfaen" w:eastAsia="Calibri" w:hAnsi="Sylfaen" w:cs="Calibri"/>
          <w:i/>
          <w:kern w:val="0"/>
          <w:sz w:val="16"/>
          <w:szCs w:val="16"/>
          <w14:ligatures w14:val="none"/>
        </w:rPr>
      </w:pPr>
      <w:r>
        <w:rPr>
          <w:rFonts w:ascii="Sylfaen" w:eastAsia="Calibri" w:hAnsi="Sylfaen" w:cs="Sylfaen"/>
          <w:i/>
          <w:kern w:val="0"/>
          <w:sz w:val="16"/>
          <w:szCs w:val="16"/>
          <w14:ligatures w14:val="none"/>
        </w:rPr>
        <w:t xml:space="preserve">Note: </w:t>
      </w:r>
      <w:r w:rsidRPr="00D1661C">
        <w:rPr>
          <w:rFonts w:ascii="Sylfaen" w:eastAsia="Calibri" w:hAnsi="Sylfaen" w:cs="Sylfaen"/>
          <w:i/>
          <w:kern w:val="0"/>
          <w:sz w:val="16"/>
          <w:szCs w:val="16"/>
          <w14:ligatures w14:val="none"/>
        </w:rPr>
        <w:t xml:space="preserve">exchange rates used in the table </w:t>
      </w:r>
      <w:r>
        <w:rPr>
          <w:rFonts w:ascii="Sylfaen" w:eastAsia="Calibri" w:hAnsi="Sylfaen" w:cs="Sylfaen"/>
          <w:i/>
          <w:kern w:val="0"/>
          <w:sz w:val="16"/>
          <w:szCs w:val="16"/>
          <w14:ligatures w14:val="none"/>
        </w:rPr>
        <w:t xml:space="preserve">are for the </w:t>
      </w:r>
      <w:r w:rsidRPr="00D1661C">
        <w:rPr>
          <w:rFonts w:ascii="Sylfaen" w:eastAsia="Calibri" w:hAnsi="Sylfaen" w:cs="Sylfaen"/>
          <w:i/>
          <w:kern w:val="0"/>
          <w:sz w:val="16"/>
          <w:szCs w:val="16"/>
          <w14:ligatures w14:val="none"/>
        </w:rPr>
        <w:t>given date</w:t>
      </w:r>
    </w:p>
    <w:p w14:paraId="5DE4DC60" w14:textId="77777777" w:rsidR="00E654C0" w:rsidRPr="00D1661C" w:rsidRDefault="00E654C0">
      <w:pPr>
        <w:rPr>
          <w:rFonts w:ascii="Sylfaen" w:hAnsi="Sylfaen"/>
        </w:rPr>
      </w:pPr>
    </w:p>
    <w:sectPr w:rsidR="00E654C0" w:rsidRPr="00D1661C" w:rsidSect="006A2B23">
      <w:footerReference w:type="default" r:id="rId10"/>
      <w:pgSz w:w="11907" w:h="16839" w:code="9"/>
      <w:pgMar w:top="540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D74F" w14:textId="77777777" w:rsidR="005C6648" w:rsidRDefault="005C6648">
      <w:pPr>
        <w:spacing w:after="0" w:line="240" w:lineRule="auto"/>
      </w:pPr>
      <w:r>
        <w:separator/>
      </w:r>
    </w:p>
  </w:endnote>
  <w:endnote w:type="continuationSeparator" w:id="0">
    <w:p w14:paraId="6861ECD8" w14:textId="77777777" w:rsidR="005C6648" w:rsidRDefault="005C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t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96A07" w14:textId="049C2CE3" w:rsidR="006A2B23" w:rsidRDefault="006A2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E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156038" w14:textId="77777777" w:rsidR="006A2B23" w:rsidRDefault="006A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C801" w14:textId="77777777" w:rsidR="005C6648" w:rsidRDefault="005C6648">
      <w:pPr>
        <w:spacing w:after="0" w:line="240" w:lineRule="auto"/>
      </w:pPr>
      <w:r>
        <w:separator/>
      </w:r>
    </w:p>
  </w:footnote>
  <w:footnote w:type="continuationSeparator" w:id="0">
    <w:p w14:paraId="546655B5" w14:textId="77777777" w:rsidR="005C6648" w:rsidRDefault="005C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514075218">
    <w:abstractNumId w:val="12"/>
  </w:num>
  <w:num w:numId="2" w16cid:durableId="832457286">
    <w:abstractNumId w:val="10"/>
  </w:num>
  <w:num w:numId="3" w16cid:durableId="2019890350">
    <w:abstractNumId w:val="5"/>
  </w:num>
  <w:num w:numId="4" w16cid:durableId="1735617579">
    <w:abstractNumId w:val="7"/>
  </w:num>
  <w:num w:numId="5" w16cid:durableId="2106881521">
    <w:abstractNumId w:val="0"/>
  </w:num>
  <w:num w:numId="6" w16cid:durableId="26835589">
    <w:abstractNumId w:val="2"/>
  </w:num>
  <w:num w:numId="7" w16cid:durableId="1418021449">
    <w:abstractNumId w:val="11"/>
  </w:num>
  <w:num w:numId="8" w16cid:durableId="463503212">
    <w:abstractNumId w:val="1"/>
  </w:num>
  <w:num w:numId="9" w16cid:durableId="1954510461">
    <w:abstractNumId w:val="4"/>
  </w:num>
  <w:num w:numId="10" w16cid:durableId="511069102">
    <w:abstractNumId w:val="6"/>
  </w:num>
  <w:num w:numId="11" w16cid:durableId="1652439161">
    <w:abstractNumId w:val="8"/>
  </w:num>
  <w:num w:numId="12" w16cid:durableId="839808526">
    <w:abstractNumId w:val="9"/>
  </w:num>
  <w:num w:numId="13" w16cid:durableId="77988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C0"/>
    <w:rsid w:val="00043B92"/>
    <w:rsid w:val="00070230"/>
    <w:rsid w:val="000F5F56"/>
    <w:rsid w:val="0013512A"/>
    <w:rsid w:val="00145F2B"/>
    <w:rsid w:val="001C01AE"/>
    <w:rsid w:val="003124A2"/>
    <w:rsid w:val="00351986"/>
    <w:rsid w:val="00403EEA"/>
    <w:rsid w:val="0046679F"/>
    <w:rsid w:val="00472809"/>
    <w:rsid w:val="00474331"/>
    <w:rsid w:val="0047520C"/>
    <w:rsid w:val="004F418D"/>
    <w:rsid w:val="00574DA5"/>
    <w:rsid w:val="005A6979"/>
    <w:rsid w:val="005C6648"/>
    <w:rsid w:val="005F1861"/>
    <w:rsid w:val="0068566A"/>
    <w:rsid w:val="00697257"/>
    <w:rsid w:val="006A2B23"/>
    <w:rsid w:val="00724444"/>
    <w:rsid w:val="00755B87"/>
    <w:rsid w:val="007B67E1"/>
    <w:rsid w:val="00824E43"/>
    <w:rsid w:val="009B6ED9"/>
    <w:rsid w:val="009D1959"/>
    <w:rsid w:val="00A15F4E"/>
    <w:rsid w:val="00A8685D"/>
    <w:rsid w:val="00C334AF"/>
    <w:rsid w:val="00C54C3C"/>
    <w:rsid w:val="00C753B1"/>
    <w:rsid w:val="00D1661C"/>
    <w:rsid w:val="00D91358"/>
    <w:rsid w:val="00E654C0"/>
    <w:rsid w:val="00E87B05"/>
    <w:rsid w:val="00EE7599"/>
    <w:rsid w:val="00F36681"/>
    <w:rsid w:val="00F60A9C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5E615"/>
  <w15:chartTrackingRefBased/>
  <w15:docId w15:val="{2735B07B-FECA-431A-AA41-D4C6CADE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7331D"/>
  </w:style>
  <w:style w:type="paragraph" w:styleId="BalloonText">
    <w:name w:val="Balloon Text"/>
    <w:basedOn w:val="Normal"/>
    <w:link w:val="BalloonTextChar"/>
    <w:uiPriority w:val="99"/>
    <w:semiHidden/>
    <w:unhideWhenUsed/>
    <w:rsid w:val="00F7331D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1D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DefaultParagraphFont"/>
    <w:rsid w:val="00F7331D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F7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bzacixmlChar">
    <w:name w:val="abzaci_xml Char"/>
    <w:link w:val="abzacixml"/>
    <w:uiPriority w:val="99"/>
    <w:locked/>
    <w:rsid w:val="00F7331D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F7331D"/>
    <w:pPr>
      <w:ind w:firstLine="630"/>
      <w:jc w:val="both"/>
    </w:pPr>
    <w:rPr>
      <w:rFonts w:ascii="Sylfaen" w:hAnsi="Sylfaen" w:cstheme="minorBidi"/>
      <w:kern w:val="2"/>
      <w:sz w:val="24"/>
      <w:szCs w:val="24"/>
      <w:lang w:val="x-none" w:eastAsia="x-none"/>
      <w14:ligatures w14:val="standardContextu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331D"/>
    <w:pPr>
      <w:spacing w:after="0" w:line="240" w:lineRule="auto"/>
    </w:pPr>
    <w:rPr>
      <w:rFonts w:ascii="Consolas" w:hAnsi="Consolas" w:cs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31D"/>
    <w:rPr>
      <w:rFonts w:ascii="Consolas" w:hAnsi="Consolas" w:cs="Consolas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59"/>
    <w:rsid w:val="00F733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1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31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3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331D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733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31D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7331D"/>
    <w:rPr>
      <w:kern w:val="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F73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31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7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1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1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1D"/>
    <w:rPr>
      <w:b/>
      <w:bCs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F7331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kern w:val="0"/>
      <w:sz w:val="28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F7331D"/>
    <w:rPr>
      <w:rFonts w:ascii="LitNusx" w:eastAsia="Times New Roman" w:hAnsi="LitNusx" w:cs="Times New Roman"/>
      <w:kern w:val="0"/>
      <w:sz w:val="28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7331D"/>
    <w:rPr>
      <w:color w:val="800080"/>
      <w:u w:val="single"/>
    </w:rPr>
  </w:style>
  <w:style w:type="paragraph" w:customStyle="1" w:styleId="msonormal0">
    <w:name w:val="msonormal"/>
    <w:basedOn w:val="Normal"/>
    <w:rsid w:val="00F7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7331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F7331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F7331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8"/>
      <w:szCs w:val="18"/>
      <w14:ligatures w14:val="none"/>
    </w:rPr>
  </w:style>
  <w:style w:type="paragraph" w:customStyle="1" w:styleId="xl35633">
    <w:name w:val="xl35633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4">
    <w:name w:val="xl35634"/>
    <w:basedOn w:val="Normal"/>
    <w:rsid w:val="00F733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5">
    <w:name w:val="xl35635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kern w:val="0"/>
      <w:sz w:val="24"/>
      <w:szCs w:val="24"/>
      <w14:ligatures w14:val="none"/>
    </w:rPr>
  </w:style>
  <w:style w:type="paragraph" w:customStyle="1" w:styleId="xl35636">
    <w:name w:val="xl35636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7">
    <w:name w:val="xl35637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8">
    <w:name w:val="xl35638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9">
    <w:name w:val="xl35639"/>
    <w:basedOn w:val="Normal"/>
    <w:rsid w:val="00F7331D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14:ligatures w14:val="none"/>
    </w:rPr>
  </w:style>
  <w:style w:type="paragraph" w:customStyle="1" w:styleId="xl35640">
    <w:name w:val="xl35640"/>
    <w:basedOn w:val="Normal"/>
    <w:rsid w:val="00F7331D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kern w:val="0"/>
      <w:sz w:val="16"/>
      <w:szCs w:val="16"/>
      <w14:ligatures w14:val="none"/>
    </w:rPr>
  </w:style>
  <w:style w:type="paragraph" w:customStyle="1" w:styleId="xl35641">
    <w:name w:val="xl35641"/>
    <w:basedOn w:val="Normal"/>
    <w:rsid w:val="00F7331D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kern w:val="0"/>
      <w:sz w:val="16"/>
      <w:szCs w:val="16"/>
      <w14:ligatures w14:val="none"/>
    </w:rPr>
  </w:style>
  <w:style w:type="paragraph" w:customStyle="1" w:styleId="xl35642">
    <w:name w:val="xl35642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643">
    <w:name w:val="xl35643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644">
    <w:name w:val="xl35644"/>
    <w:basedOn w:val="Normal"/>
    <w:rsid w:val="00F733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645">
    <w:name w:val="xl35645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46">
    <w:name w:val="xl35646"/>
    <w:basedOn w:val="Normal"/>
    <w:rsid w:val="00F733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47">
    <w:name w:val="xl35647"/>
    <w:basedOn w:val="Normal"/>
    <w:rsid w:val="00F733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48">
    <w:name w:val="xl35648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49">
    <w:name w:val="xl35649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0">
    <w:name w:val="xl35650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1">
    <w:name w:val="xl35651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2">
    <w:name w:val="xl35652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3">
    <w:name w:val="xl35653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4">
    <w:name w:val="xl35654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5">
    <w:name w:val="xl35655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6">
    <w:name w:val="xl35656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7">
    <w:name w:val="xl35657"/>
    <w:basedOn w:val="Normal"/>
    <w:rsid w:val="00F73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8">
    <w:name w:val="xl35658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59">
    <w:name w:val="xl35659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0">
    <w:name w:val="xl35660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1">
    <w:name w:val="xl35661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2">
    <w:name w:val="xl35662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3">
    <w:name w:val="xl35663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4">
    <w:name w:val="xl35664"/>
    <w:basedOn w:val="Normal"/>
    <w:rsid w:val="00F733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665">
    <w:name w:val="xl35665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6">
    <w:name w:val="xl35666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7">
    <w:name w:val="xl35667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8">
    <w:name w:val="xl35668"/>
    <w:basedOn w:val="Normal"/>
    <w:rsid w:val="00F733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69">
    <w:name w:val="xl35669"/>
    <w:basedOn w:val="Normal"/>
    <w:rsid w:val="00F733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0">
    <w:name w:val="xl35670"/>
    <w:basedOn w:val="Normal"/>
    <w:rsid w:val="00F73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1">
    <w:name w:val="xl35671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2">
    <w:name w:val="xl35672"/>
    <w:basedOn w:val="Normal"/>
    <w:rsid w:val="00F7331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3">
    <w:name w:val="xl35673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4">
    <w:name w:val="xl35674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5">
    <w:name w:val="xl35675"/>
    <w:basedOn w:val="Normal"/>
    <w:rsid w:val="00F7331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35676">
    <w:name w:val="xl35676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7">
    <w:name w:val="xl35677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78">
    <w:name w:val="xl35678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679">
    <w:name w:val="xl35679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680">
    <w:name w:val="xl35680"/>
    <w:basedOn w:val="Normal"/>
    <w:rsid w:val="00F733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1">
    <w:name w:val="xl35681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2">
    <w:name w:val="xl35682"/>
    <w:basedOn w:val="Normal"/>
    <w:rsid w:val="00F73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3">
    <w:name w:val="xl35683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4">
    <w:name w:val="xl35684"/>
    <w:basedOn w:val="Normal"/>
    <w:rsid w:val="00F73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5">
    <w:name w:val="xl35685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6">
    <w:name w:val="xl35686"/>
    <w:basedOn w:val="Normal"/>
    <w:rsid w:val="00F7331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7">
    <w:name w:val="xl35687"/>
    <w:basedOn w:val="Normal"/>
    <w:rsid w:val="00F73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8">
    <w:name w:val="xl35688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89">
    <w:name w:val="xl35689"/>
    <w:basedOn w:val="Normal"/>
    <w:rsid w:val="00F733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90">
    <w:name w:val="xl35690"/>
    <w:basedOn w:val="Normal"/>
    <w:rsid w:val="00F733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35691">
    <w:name w:val="xl35691"/>
    <w:basedOn w:val="Normal"/>
    <w:rsid w:val="00F733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2">
    <w:name w:val="xl35692"/>
    <w:basedOn w:val="Normal"/>
    <w:rsid w:val="00F73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3">
    <w:name w:val="xl35693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4">
    <w:name w:val="xl35694"/>
    <w:basedOn w:val="Normal"/>
    <w:rsid w:val="00F7331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5">
    <w:name w:val="xl35695"/>
    <w:basedOn w:val="Normal"/>
    <w:rsid w:val="00F73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6">
    <w:name w:val="xl35696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7">
    <w:name w:val="xl35697"/>
    <w:basedOn w:val="Normal"/>
    <w:rsid w:val="00F733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698">
    <w:name w:val="xl35698"/>
    <w:basedOn w:val="Normal"/>
    <w:rsid w:val="00F73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699">
    <w:name w:val="xl35699"/>
    <w:basedOn w:val="Normal"/>
    <w:rsid w:val="00F73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00">
    <w:name w:val="xl35700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35701">
    <w:name w:val="xl35701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702">
    <w:name w:val="xl35702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35703">
    <w:name w:val="xl35703"/>
    <w:basedOn w:val="Normal"/>
    <w:rsid w:val="00F7331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35704">
    <w:name w:val="xl35704"/>
    <w:basedOn w:val="Normal"/>
    <w:rsid w:val="00F7331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35705">
    <w:name w:val="xl35705"/>
    <w:basedOn w:val="Normal"/>
    <w:rsid w:val="00F733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35706">
    <w:name w:val="xl35706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35707">
    <w:name w:val="xl35707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08">
    <w:name w:val="xl35708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09">
    <w:name w:val="xl35709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0">
    <w:name w:val="xl35710"/>
    <w:basedOn w:val="Normal"/>
    <w:rsid w:val="00F7331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1">
    <w:name w:val="xl35711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2">
    <w:name w:val="xl35712"/>
    <w:basedOn w:val="Normal"/>
    <w:rsid w:val="00F7331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3">
    <w:name w:val="xl35713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4">
    <w:name w:val="xl35714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5">
    <w:name w:val="xl35715"/>
    <w:basedOn w:val="Normal"/>
    <w:rsid w:val="00F7331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6">
    <w:name w:val="xl35716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7">
    <w:name w:val="xl35717"/>
    <w:basedOn w:val="Normal"/>
    <w:rsid w:val="00F7331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8">
    <w:name w:val="xl35718"/>
    <w:basedOn w:val="Normal"/>
    <w:rsid w:val="00F733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19">
    <w:name w:val="xl35719"/>
    <w:basedOn w:val="Normal"/>
    <w:rsid w:val="00F7331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0">
    <w:name w:val="xl35720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1">
    <w:name w:val="xl35721"/>
    <w:basedOn w:val="Normal"/>
    <w:rsid w:val="00F733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2">
    <w:name w:val="xl35722"/>
    <w:basedOn w:val="Normal"/>
    <w:rsid w:val="00F733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3">
    <w:name w:val="xl35723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4">
    <w:name w:val="xl35724"/>
    <w:basedOn w:val="Normal"/>
    <w:rsid w:val="00F7331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5">
    <w:name w:val="xl35725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6">
    <w:name w:val="xl35726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7">
    <w:name w:val="xl35727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8">
    <w:name w:val="xl35728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29">
    <w:name w:val="xl35729"/>
    <w:basedOn w:val="Normal"/>
    <w:rsid w:val="00F7331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14:ligatures w14:val="none"/>
    </w:rPr>
  </w:style>
  <w:style w:type="paragraph" w:customStyle="1" w:styleId="xl35730">
    <w:name w:val="xl35730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1">
    <w:name w:val="xl35731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35732">
    <w:name w:val="xl35732"/>
    <w:basedOn w:val="Normal"/>
    <w:rsid w:val="00F733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3">
    <w:name w:val="xl35733"/>
    <w:basedOn w:val="Normal"/>
    <w:rsid w:val="00F7331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4">
    <w:name w:val="xl35734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5">
    <w:name w:val="xl35735"/>
    <w:basedOn w:val="Normal"/>
    <w:rsid w:val="00F7331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6">
    <w:name w:val="xl35736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7">
    <w:name w:val="xl35737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8">
    <w:name w:val="xl35738"/>
    <w:basedOn w:val="Normal"/>
    <w:rsid w:val="00F7331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39">
    <w:name w:val="xl35739"/>
    <w:basedOn w:val="Normal"/>
    <w:rsid w:val="00F7331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0">
    <w:name w:val="xl35740"/>
    <w:basedOn w:val="Normal"/>
    <w:rsid w:val="00F7331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1">
    <w:name w:val="xl35741"/>
    <w:basedOn w:val="Normal"/>
    <w:rsid w:val="00F733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2">
    <w:name w:val="xl35742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3">
    <w:name w:val="xl35743"/>
    <w:basedOn w:val="Normal"/>
    <w:rsid w:val="00F7331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4">
    <w:name w:val="xl35744"/>
    <w:basedOn w:val="Normal"/>
    <w:rsid w:val="00F733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5">
    <w:name w:val="xl35745"/>
    <w:basedOn w:val="Normal"/>
    <w:rsid w:val="00F733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6">
    <w:name w:val="xl35746"/>
    <w:basedOn w:val="Normal"/>
    <w:rsid w:val="00F7331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7">
    <w:name w:val="xl35747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8">
    <w:name w:val="xl35748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49">
    <w:name w:val="xl35749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0">
    <w:name w:val="xl35750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1">
    <w:name w:val="xl35751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2">
    <w:name w:val="xl35752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3">
    <w:name w:val="xl35753"/>
    <w:basedOn w:val="Normal"/>
    <w:rsid w:val="00F73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35754">
    <w:name w:val="xl35754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35755">
    <w:name w:val="xl35755"/>
    <w:basedOn w:val="Normal"/>
    <w:rsid w:val="00F73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6">
    <w:name w:val="xl35756"/>
    <w:basedOn w:val="Normal"/>
    <w:rsid w:val="00F733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7">
    <w:name w:val="xl35757"/>
    <w:basedOn w:val="Normal"/>
    <w:rsid w:val="00F733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58">
    <w:name w:val="xl35758"/>
    <w:basedOn w:val="Normal"/>
    <w:rsid w:val="00F733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35759">
    <w:name w:val="xl35759"/>
    <w:basedOn w:val="Normal"/>
    <w:rsid w:val="00F733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xl35760">
    <w:name w:val="xl35760"/>
    <w:basedOn w:val="Normal"/>
    <w:rsid w:val="00F7331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61">
    <w:name w:val="xl35761"/>
    <w:basedOn w:val="Normal"/>
    <w:rsid w:val="00F733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62">
    <w:name w:val="xl35762"/>
    <w:basedOn w:val="Normal"/>
    <w:rsid w:val="00F73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3">
    <w:name w:val="xl35763"/>
    <w:basedOn w:val="Normal"/>
    <w:rsid w:val="00F733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4">
    <w:name w:val="xl35764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5">
    <w:name w:val="xl35765"/>
    <w:basedOn w:val="Normal"/>
    <w:rsid w:val="00F733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6">
    <w:name w:val="xl35766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7">
    <w:name w:val="xl35767"/>
    <w:basedOn w:val="Normal"/>
    <w:rsid w:val="00F733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8">
    <w:name w:val="xl35768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69">
    <w:name w:val="xl35769"/>
    <w:basedOn w:val="Normal"/>
    <w:rsid w:val="00F7331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70">
    <w:name w:val="xl35770"/>
    <w:basedOn w:val="Normal"/>
    <w:rsid w:val="00F7331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71">
    <w:name w:val="xl35771"/>
    <w:basedOn w:val="Normal"/>
    <w:rsid w:val="00F7331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72">
    <w:name w:val="xl35772"/>
    <w:basedOn w:val="Normal"/>
    <w:rsid w:val="00F733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73">
    <w:name w:val="xl35773"/>
    <w:basedOn w:val="Normal"/>
    <w:rsid w:val="00F733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74">
    <w:name w:val="xl35774"/>
    <w:basedOn w:val="Normal"/>
    <w:rsid w:val="00F733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14:ligatures w14:val="none"/>
    </w:rPr>
  </w:style>
  <w:style w:type="paragraph" w:customStyle="1" w:styleId="xl35775">
    <w:name w:val="xl35775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76">
    <w:name w:val="xl35776"/>
    <w:basedOn w:val="Normal"/>
    <w:rsid w:val="00F733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77">
    <w:name w:val="xl35777"/>
    <w:basedOn w:val="Normal"/>
    <w:rsid w:val="00F7331D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14:ligatures w14:val="none"/>
    </w:rPr>
  </w:style>
  <w:style w:type="paragraph" w:customStyle="1" w:styleId="xl35778">
    <w:name w:val="xl35778"/>
    <w:basedOn w:val="Normal"/>
    <w:rsid w:val="00F7331D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14:ligatures w14:val="none"/>
    </w:rPr>
  </w:style>
  <w:style w:type="paragraph" w:customStyle="1" w:styleId="xl35779">
    <w:name w:val="xl35779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780">
    <w:name w:val="xl35780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35781">
    <w:name w:val="xl35781"/>
    <w:basedOn w:val="Normal"/>
    <w:rsid w:val="00F7331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82">
    <w:name w:val="xl35782"/>
    <w:basedOn w:val="Normal"/>
    <w:rsid w:val="00F7331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3">
    <w:name w:val="xl35783"/>
    <w:basedOn w:val="Normal"/>
    <w:rsid w:val="00F733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4">
    <w:name w:val="xl35784"/>
    <w:basedOn w:val="Normal"/>
    <w:rsid w:val="00F73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5">
    <w:name w:val="xl35785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6">
    <w:name w:val="xl35786"/>
    <w:basedOn w:val="Normal"/>
    <w:rsid w:val="00F733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7">
    <w:name w:val="xl35787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8">
    <w:name w:val="xl35788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89">
    <w:name w:val="xl35789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90">
    <w:name w:val="xl35790"/>
    <w:basedOn w:val="Normal"/>
    <w:rsid w:val="00F733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35791">
    <w:name w:val="xl35791"/>
    <w:basedOn w:val="Normal"/>
    <w:rsid w:val="00F7331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35792">
    <w:name w:val="xl35792"/>
    <w:basedOn w:val="Normal"/>
    <w:rsid w:val="00F733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35793">
    <w:name w:val="xl35793"/>
    <w:basedOn w:val="Normal"/>
    <w:rsid w:val="00F733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94">
    <w:name w:val="xl35794"/>
    <w:basedOn w:val="Normal"/>
    <w:rsid w:val="00F733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5795">
    <w:name w:val="xl35795"/>
    <w:basedOn w:val="Normal"/>
    <w:rsid w:val="00F733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35796">
    <w:name w:val="xl35796"/>
    <w:basedOn w:val="Normal"/>
    <w:rsid w:val="00F73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331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331D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7331D"/>
    <w:rPr>
      <w:vertAlign w:val="superscript"/>
    </w:rPr>
  </w:style>
  <w:style w:type="paragraph" w:customStyle="1" w:styleId="xl35631">
    <w:name w:val="xl35631"/>
    <w:basedOn w:val="Normal"/>
    <w:rsid w:val="00F733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35632">
    <w:name w:val="xl35632"/>
    <w:basedOn w:val="Normal"/>
    <w:rsid w:val="00F733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33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33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55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nana.kharchilava\Desktop\MAR\report\Average%20Weighted%20Interest%20Rate_2020%20MAR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manana.kharchilava\Desktop\SEP\Report\Average%20Weighted%20Interest%20Rate_2020%2030%20SEP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nana.kharchilava\Desktop\SEP\Report\Average%20Weighted%20Interest%20Rate_2020%2030%20SEP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2888-4993-B0B9-61C54330A537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2888-4993-B0B9-61C54330A537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2888-4993-B0B9-61C54330A537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2888-4993-B0B9-61C54330A537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2888-4993-B0B9-61C54330A537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2888-4993-B0B9-61C54330A537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Internal 
25%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888-4993-B0B9-61C54330A5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Multilateral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888-4993-B0B9-61C54330A537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Bilateral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888-4993-B0B9-61C54330A537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Eurobond 5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2888-4993-B0B9-61C54330A53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88-4993-B0B9-61C54330A537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en-US" sz="900" dirty="0">
                        <a:solidFill>
                          <a:sysClr val="windowText" lastClr="000000"/>
                        </a:solidFill>
                      </a:rPr>
                      <a:t>External
75%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2888-4993-B0B9-61C54330A5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GE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888-4993-B0B9-61C54330A53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20A-4F7F-A2E3-8306FD19C51B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20A-4F7F-A2E3-8306FD19C51B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20A-4F7F-A2E3-8306FD19C51B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56%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20A-4F7F-A2E3-8306FD19C51B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20A-4F7F-A2E3-8306FD19C51B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20A-4F7F-A2E3-8306FD19C51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20A-4F7F-A2E3-8306FD19C51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GE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20A-4F7F-A2E3-8306FD19C51B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0A-4F7F-A2E3-8306FD19C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Type</a:t>
            </a:r>
            <a:r>
              <a:rPr lang="en-US" sz="900" b="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of interest rate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62-4AFF-B31C-80E85D022917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D62-4AFF-B31C-80E85D022917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800"/>
                      <a:t>Fixed</a:t>
                    </a:r>
                    <a:r>
                      <a:rPr lang="en-US" sz="800" baseline="0"/>
                      <a:t>
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FD62-4AFF-B31C-80E85D022917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/>
                      <a:t>Variable</a:t>
                    </a:r>
                    <a:r>
                      <a:rPr lang="en-US" baseline="0"/>
                      <a:t>
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FD62-4AFF-B31C-80E85D0229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G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62-4AFF-B31C-80E85D0229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Currency structure</a:t>
          </a:r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1632</Words>
  <Characters>8912</Characters>
  <Application>Microsoft Office Word</Application>
  <DocSecurity>0</DocSecurity>
  <Lines>178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mc24348</dc:creator>
  <cp:keywords/>
  <dc:description/>
  <cp:lastModifiedBy>ana kekelidze</cp:lastModifiedBy>
  <cp:revision>17</cp:revision>
  <dcterms:created xsi:type="dcterms:W3CDTF">2023-06-18T17:41:00Z</dcterms:created>
  <dcterms:modified xsi:type="dcterms:W3CDTF">2023-10-25T09:16:00Z</dcterms:modified>
</cp:coreProperties>
</file>